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D2979" w14:textId="77777777" w:rsidR="00565F28" w:rsidRPr="00820958" w:rsidRDefault="00565F28" w:rsidP="00565F28">
      <w:pPr>
        <w:pStyle w:val="Ttulo1"/>
        <w:keepLines/>
        <w:jc w:val="both"/>
        <w:rPr>
          <w:rFonts w:ascii="Arial" w:eastAsiaTheme="majorEastAsia" w:hAnsi="Arial" w:cstheme="majorBidi"/>
          <w:b/>
          <w:color w:val="B09A5B" w:themeColor="accent2"/>
          <w:szCs w:val="32"/>
          <w:lang w:eastAsia="es-MX"/>
        </w:rPr>
      </w:pPr>
      <w:r w:rsidRPr="00820958">
        <w:rPr>
          <w:rFonts w:ascii="Arial" w:eastAsiaTheme="majorEastAsia" w:hAnsi="Arial" w:cstheme="majorBidi"/>
          <w:b/>
          <w:color w:val="B09A5B" w:themeColor="accent2"/>
          <w:szCs w:val="32"/>
          <w:lang w:eastAsia="es-MX"/>
        </w:rPr>
        <w:t>Notas a los estados financieros consolidados</w:t>
      </w:r>
    </w:p>
    <w:p w14:paraId="1D4D0FDA" w14:textId="77777777" w:rsidR="00565F28" w:rsidRDefault="00565F28" w:rsidP="00565F28">
      <w:pPr>
        <w:jc w:val="both"/>
        <w:outlineLvl w:val="0"/>
      </w:pPr>
    </w:p>
    <w:p w14:paraId="3065F2A4" w14:textId="77777777" w:rsidR="00565F28" w:rsidRPr="00C4677F" w:rsidRDefault="00565F28" w:rsidP="00565F28">
      <w:pPr>
        <w:jc w:val="both"/>
        <w:outlineLvl w:val="0"/>
      </w:pPr>
      <w:r w:rsidRPr="00C4677F">
        <w:t>De conformidad al a</w:t>
      </w:r>
      <w:r>
        <w:t>rtículo 46, fracción I, inciso g</w:t>
      </w:r>
      <w:r w:rsidRPr="00C4677F">
        <w:t xml:space="preserve">) y 49 de la Ley General de Contabilidad Gubernamental, así como, a la normatividad emitida por el Consejo Nacional de Armonización Contable, a continuación, se presentan las notas a los estados financieros del Poder Ejecutivo, correspondiente al </w:t>
      </w:r>
      <w:r>
        <w:t xml:space="preserve">31 de diciembre </w:t>
      </w:r>
      <w:r w:rsidRPr="00C4677F">
        <w:t xml:space="preserve">de </w:t>
      </w:r>
      <w:r>
        <w:t>2022</w:t>
      </w:r>
      <w:r w:rsidRPr="00C4677F">
        <w:t>, con los siguientes apartados:</w:t>
      </w:r>
    </w:p>
    <w:p w14:paraId="521A4C41" w14:textId="77777777" w:rsidR="00565F28" w:rsidRPr="00C4677F" w:rsidRDefault="00565F28" w:rsidP="00565F28">
      <w:pPr>
        <w:jc w:val="both"/>
        <w:outlineLvl w:val="0"/>
      </w:pPr>
    </w:p>
    <w:p w14:paraId="55EC28D0" w14:textId="77777777" w:rsidR="00565F28" w:rsidRPr="00C4677F" w:rsidRDefault="00565F28" w:rsidP="00565F28">
      <w:pPr>
        <w:pStyle w:val="Prrafodelista"/>
        <w:numPr>
          <w:ilvl w:val="0"/>
          <w:numId w:val="4"/>
        </w:numPr>
        <w:spacing w:after="120"/>
        <w:ind w:left="357" w:hanging="357"/>
        <w:contextualSpacing w:val="0"/>
        <w:rPr>
          <w:rFonts w:ascii="Arial" w:hAnsi="Arial"/>
          <w:szCs w:val="20"/>
        </w:rPr>
      </w:pPr>
      <w:r w:rsidRPr="00C4677F">
        <w:rPr>
          <w:rFonts w:ascii="Arial" w:hAnsi="Arial"/>
          <w:szCs w:val="20"/>
        </w:rPr>
        <w:t>Notas de Desglose,</w:t>
      </w:r>
    </w:p>
    <w:p w14:paraId="5FE68D2D" w14:textId="77777777" w:rsidR="00565F28" w:rsidRPr="00C4677F" w:rsidRDefault="00565F28" w:rsidP="00565F28">
      <w:pPr>
        <w:pStyle w:val="Prrafodelista"/>
        <w:numPr>
          <w:ilvl w:val="0"/>
          <w:numId w:val="4"/>
        </w:numPr>
        <w:spacing w:after="120"/>
        <w:ind w:left="357" w:hanging="357"/>
        <w:contextualSpacing w:val="0"/>
        <w:rPr>
          <w:rFonts w:ascii="Arial" w:hAnsi="Arial"/>
          <w:szCs w:val="20"/>
        </w:rPr>
      </w:pPr>
      <w:r w:rsidRPr="00C4677F">
        <w:rPr>
          <w:rFonts w:ascii="Arial" w:hAnsi="Arial"/>
          <w:szCs w:val="20"/>
        </w:rPr>
        <w:t>Notas de Memoria (Cuentas de Orden), y</w:t>
      </w:r>
    </w:p>
    <w:p w14:paraId="2AC2DA7B" w14:textId="77777777" w:rsidR="00565F28" w:rsidRPr="001B5A9B" w:rsidRDefault="00565F28" w:rsidP="00565F28">
      <w:pPr>
        <w:pStyle w:val="Prrafodelista"/>
        <w:numPr>
          <w:ilvl w:val="0"/>
          <w:numId w:val="4"/>
        </w:numPr>
        <w:spacing w:after="120"/>
        <w:ind w:left="357" w:hanging="357"/>
        <w:contextualSpacing w:val="0"/>
        <w:rPr>
          <w:rFonts w:ascii="Arial" w:hAnsi="Arial"/>
          <w:szCs w:val="20"/>
        </w:rPr>
      </w:pPr>
      <w:r w:rsidRPr="00C4677F">
        <w:rPr>
          <w:rFonts w:ascii="Arial" w:hAnsi="Arial"/>
          <w:szCs w:val="20"/>
        </w:rPr>
        <w:t>Notas de Gesti</w:t>
      </w:r>
      <w:bookmarkStart w:id="0" w:name="_GoBack"/>
      <w:bookmarkEnd w:id="0"/>
      <w:r w:rsidRPr="00C4677F">
        <w:rPr>
          <w:rFonts w:ascii="Arial" w:hAnsi="Arial"/>
          <w:szCs w:val="20"/>
        </w:rPr>
        <w:t>ón Administrativa.</w:t>
      </w:r>
    </w:p>
    <w:p w14:paraId="10446013" w14:textId="77777777" w:rsidR="00565F28" w:rsidRDefault="00565F28" w:rsidP="00565F28">
      <w:pPr>
        <w:jc w:val="both"/>
      </w:pPr>
    </w:p>
    <w:p w14:paraId="2A268601" w14:textId="77777777" w:rsidR="00565F28" w:rsidRDefault="00565F28" w:rsidP="00565F28">
      <w:pPr>
        <w:jc w:val="both"/>
        <w:outlineLvl w:val="0"/>
      </w:pPr>
      <w:r w:rsidRPr="00B36325">
        <w:t xml:space="preserve">Las cifras </w:t>
      </w:r>
      <w:r>
        <w:t>a</w:t>
      </w:r>
      <w:r w:rsidRPr="000B74DF">
        <w:t>l 3</w:t>
      </w:r>
      <w:r>
        <w:t>1</w:t>
      </w:r>
      <w:r w:rsidRPr="000B74DF">
        <w:t xml:space="preserve"> de </w:t>
      </w:r>
      <w:r>
        <w:t>diciembre</w:t>
      </w:r>
      <w:r w:rsidRPr="000B74DF">
        <w:t xml:space="preserve"> </w:t>
      </w:r>
      <w:r w:rsidRPr="00B36325">
        <w:t>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w:t>
      </w:r>
    </w:p>
    <w:p w14:paraId="22EFAAAF" w14:textId="77777777" w:rsidR="00565F28" w:rsidRDefault="00565F28" w:rsidP="00565F28">
      <w:pPr>
        <w:outlineLvl w:val="0"/>
      </w:pPr>
    </w:p>
    <w:p w14:paraId="5F73B8A4" w14:textId="77777777" w:rsidR="00565F28" w:rsidRPr="000B74DF" w:rsidRDefault="00565F28" w:rsidP="00565F28">
      <w:pPr>
        <w:pStyle w:val="Ttulo2"/>
        <w:keepLines/>
        <w:spacing w:before="0" w:after="0"/>
        <w:jc w:val="both"/>
        <w:rPr>
          <w:rFonts w:eastAsiaTheme="majorEastAsia" w:cs="Arial"/>
          <w:bCs w:val="0"/>
          <w:i w:val="0"/>
          <w:iCs w:val="0"/>
          <w:sz w:val="24"/>
          <w:szCs w:val="26"/>
          <w:lang w:val="es-MX" w:eastAsia="es-MX"/>
        </w:rPr>
      </w:pPr>
      <w:r w:rsidRPr="000B74DF">
        <w:rPr>
          <w:rFonts w:eastAsiaTheme="majorEastAsia" w:cs="Arial"/>
          <w:bCs w:val="0"/>
          <w:i w:val="0"/>
          <w:iCs w:val="0"/>
          <w:sz w:val="24"/>
          <w:szCs w:val="26"/>
          <w:lang w:val="es-MX" w:eastAsia="es-MX"/>
        </w:rPr>
        <w:t>Notas de desglose</w:t>
      </w:r>
    </w:p>
    <w:p w14:paraId="757F46D6" w14:textId="77777777" w:rsidR="00565F28" w:rsidRPr="000B74DF" w:rsidRDefault="00565F28" w:rsidP="00565F28">
      <w:pPr>
        <w:outlineLvl w:val="0"/>
        <w:rPr>
          <w:b/>
          <w:bCs/>
        </w:rPr>
      </w:pPr>
    </w:p>
    <w:p w14:paraId="2ECD8916" w14:textId="77777777" w:rsidR="00565F28" w:rsidRPr="007C03C2" w:rsidRDefault="00565F28" w:rsidP="00565F28">
      <w:pPr>
        <w:rPr>
          <w:b/>
          <w:bCs/>
          <w:caps/>
          <w:sz w:val="22"/>
        </w:rPr>
      </w:pPr>
      <w:r w:rsidRPr="007C03C2">
        <w:rPr>
          <w:b/>
          <w:bCs/>
          <w:sz w:val="22"/>
        </w:rPr>
        <w:t>Al estado de situación financiera</w:t>
      </w:r>
    </w:p>
    <w:p w14:paraId="1E10E8E3" w14:textId="77777777" w:rsidR="00565F28" w:rsidRPr="000B74DF" w:rsidRDefault="00565F28" w:rsidP="00565F28">
      <w:pPr>
        <w:outlineLvl w:val="0"/>
        <w:rPr>
          <w:b/>
          <w:bCs/>
        </w:rPr>
      </w:pPr>
    </w:p>
    <w:p w14:paraId="09C3026B" w14:textId="77777777" w:rsidR="00565F28" w:rsidRPr="000B74DF" w:rsidRDefault="00565F28" w:rsidP="00565F28">
      <w:pPr>
        <w:autoSpaceDE w:val="0"/>
        <w:autoSpaceDN w:val="0"/>
        <w:adjustRightInd w:val="0"/>
        <w:spacing w:after="60"/>
        <w:rPr>
          <w:b/>
          <w:bCs/>
          <w:u w:val="single"/>
        </w:rPr>
      </w:pPr>
      <w:r w:rsidRPr="000B74DF">
        <w:rPr>
          <w:b/>
          <w:bCs/>
          <w:u w:val="single"/>
        </w:rPr>
        <w:t>Activo</w:t>
      </w:r>
    </w:p>
    <w:p w14:paraId="19406DF5" w14:textId="77777777" w:rsidR="00565F28" w:rsidRDefault="00565F28" w:rsidP="00565F28">
      <w:pPr>
        <w:jc w:val="both"/>
      </w:pPr>
    </w:p>
    <w:p w14:paraId="57C7147D" w14:textId="77777777" w:rsidR="00565F28" w:rsidRPr="00C4677F" w:rsidRDefault="00565F28" w:rsidP="00565F28">
      <w:pPr>
        <w:jc w:val="both"/>
      </w:pPr>
      <w:r w:rsidRPr="00C4677F">
        <w:t>El activo se compone de los fondos, valores, derechos y bienes cuantificados en términos monetarios, los cuales controla y dispone el Poder Ejecutivo para la prestación de servicios públicos, este se integra como sigue:</w:t>
      </w:r>
    </w:p>
    <w:p w14:paraId="0B69DA01" w14:textId="77777777" w:rsidR="00565F28" w:rsidRPr="00C4677F" w:rsidRDefault="00565F28" w:rsidP="00565F28">
      <w:pPr>
        <w:jc w:val="right"/>
        <w:outlineLvl w:val="0"/>
        <w:rPr>
          <w:b/>
          <w:bCs/>
        </w:rPr>
      </w:pPr>
    </w:p>
    <w:p w14:paraId="76DCFCA0" w14:textId="77777777" w:rsidR="00565F28" w:rsidRPr="000B74DF" w:rsidRDefault="00565F28" w:rsidP="00565F28">
      <w:pPr>
        <w:autoSpaceDE w:val="0"/>
        <w:autoSpaceDN w:val="0"/>
        <w:adjustRightInd w:val="0"/>
        <w:rPr>
          <w:b/>
          <w:bCs/>
        </w:rPr>
      </w:pPr>
      <w:r w:rsidRPr="000B74DF">
        <w:rPr>
          <w:b/>
          <w:bCs/>
        </w:rPr>
        <w:t>Circulante</w:t>
      </w:r>
    </w:p>
    <w:p w14:paraId="16D48309" w14:textId="77777777" w:rsidR="00565F28" w:rsidRPr="00C4677F" w:rsidRDefault="00565F28" w:rsidP="00565F28">
      <w:pPr>
        <w:autoSpaceDE w:val="0"/>
        <w:autoSpaceDN w:val="0"/>
        <w:adjustRightInd w:val="0"/>
        <w:jc w:val="both"/>
        <w:rPr>
          <w:b/>
          <w:bCs/>
        </w:rPr>
      </w:pPr>
    </w:p>
    <w:p w14:paraId="71B39BF3" w14:textId="4BBCDB2D" w:rsidR="00565F28" w:rsidRDefault="00565F28" w:rsidP="00565F28">
      <w:pPr>
        <w:jc w:val="center"/>
        <w:outlineLvl w:val="0"/>
        <w:rPr>
          <w:noProof/>
          <w:lang w:eastAsia="es-MX"/>
        </w:rPr>
      </w:pPr>
      <w:r>
        <w:rPr>
          <w:noProof/>
          <w:lang w:eastAsia="es-MX"/>
        </w:rPr>
        <w:drawing>
          <wp:inline distT="0" distB="0" distL="0" distR="0" wp14:anchorId="3AC6A84E" wp14:editId="43D7E018">
            <wp:extent cx="3517900" cy="335915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3359150"/>
                    </a:xfrm>
                    <a:prstGeom prst="rect">
                      <a:avLst/>
                    </a:prstGeom>
                    <a:noFill/>
                  </pic:spPr>
                </pic:pic>
              </a:graphicData>
            </a:graphic>
          </wp:inline>
        </w:drawing>
      </w:r>
    </w:p>
    <w:p w14:paraId="1272B583" w14:textId="77777777" w:rsidR="00565F28" w:rsidRDefault="00565F28" w:rsidP="00565F28">
      <w:pPr>
        <w:jc w:val="both"/>
        <w:outlineLvl w:val="0"/>
        <w:rPr>
          <w:noProof/>
          <w:lang w:eastAsia="es-MX"/>
        </w:rPr>
      </w:pPr>
    </w:p>
    <w:p w14:paraId="55AA1C5C" w14:textId="77777777" w:rsidR="00565F28" w:rsidRPr="000B74DF" w:rsidRDefault="00565F28" w:rsidP="00565F28">
      <w:pPr>
        <w:jc w:val="both"/>
        <w:outlineLvl w:val="0"/>
        <w:rPr>
          <w:b/>
          <w:bCs/>
          <w:i/>
        </w:rPr>
      </w:pPr>
      <w:r w:rsidRPr="000B74DF">
        <w:rPr>
          <w:b/>
          <w:bCs/>
          <w:i/>
        </w:rPr>
        <w:t xml:space="preserve">Efectivo y </w:t>
      </w:r>
      <w:r>
        <w:rPr>
          <w:b/>
          <w:bCs/>
          <w:i/>
        </w:rPr>
        <w:t>e</w:t>
      </w:r>
      <w:r w:rsidRPr="000B74DF">
        <w:rPr>
          <w:b/>
          <w:bCs/>
          <w:i/>
        </w:rPr>
        <w:t>quivalentes</w:t>
      </w:r>
    </w:p>
    <w:p w14:paraId="7A0ED0FB" w14:textId="77777777" w:rsidR="00565F28" w:rsidRPr="00C4677F" w:rsidRDefault="00565F28" w:rsidP="00565F28">
      <w:pPr>
        <w:jc w:val="both"/>
        <w:outlineLvl w:val="0"/>
        <w:rPr>
          <w:b/>
          <w:bCs/>
          <w:i/>
          <w:iCs w:val="0"/>
        </w:rPr>
      </w:pPr>
    </w:p>
    <w:p w14:paraId="25742C0A" w14:textId="77777777" w:rsidR="00565F28" w:rsidRPr="00C4677F" w:rsidRDefault="00565F28" w:rsidP="00565F28">
      <w:pPr>
        <w:autoSpaceDE w:val="0"/>
        <w:autoSpaceDN w:val="0"/>
        <w:adjustRightInd w:val="0"/>
        <w:jc w:val="both"/>
      </w:pPr>
      <w:r w:rsidRPr="00C4677F">
        <w:t xml:space="preserve">El rubro de efectivo y equivalentes </w:t>
      </w:r>
      <w:r>
        <w:t>a</w:t>
      </w:r>
      <w:r w:rsidRPr="000B74DF">
        <w:t>l 3</w:t>
      </w:r>
      <w:r>
        <w:t>1</w:t>
      </w:r>
      <w:r w:rsidRPr="000B74DF">
        <w:t xml:space="preserve"> de </w:t>
      </w:r>
      <w:r>
        <w:t>diciembre</w:t>
      </w:r>
      <w:r w:rsidRPr="000B74DF">
        <w:t xml:space="preserve"> </w:t>
      </w:r>
      <w:r w:rsidRPr="00C4677F">
        <w:t>d</w:t>
      </w:r>
      <w:r>
        <w:t>e 2022, asciende a un monto de 11</w:t>
      </w:r>
      <w:r w:rsidRPr="00C4677F">
        <w:t xml:space="preserve"> mil </w:t>
      </w:r>
      <w:r>
        <w:t>276.1</w:t>
      </w:r>
      <w:r w:rsidRPr="00C4677F">
        <w:t xml:space="preserve"> millones de pesos, y representa el </w:t>
      </w:r>
      <w:r>
        <w:t xml:space="preserve">98.6 % </w:t>
      </w:r>
      <w:r w:rsidRPr="00C4677F">
        <w:t xml:space="preserve">del total del activo circulante, se integra principalmente por la disponibilidad financiera para cubrir los compromisos de pago a proveedores y prestadores de servicios, gastos generados en los proyectos de inversión y </w:t>
      </w:r>
      <w:r w:rsidRPr="00C4677F">
        <w:lastRenderedPageBreak/>
        <w:t xml:space="preserve">ejecución de obras, </w:t>
      </w:r>
      <w:r>
        <w:t>sueldos y salarios, aguinaldo devengado e impuestos retenidos</w:t>
      </w:r>
      <w:r w:rsidRPr="00C4677F">
        <w:t>, así como</w:t>
      </w:r>
      <w:r>
        <w:t>,</w:t>
      </w:r>
      <w:r w:rsidRPr="00C4677F">
        <w:t xml:space="preserve"> por los recursos no presupuestales administrados. </w:t>
      </w:r>
    </w:p>
    <w:p w14:paraId="74CA4309" w14:textId="77777777" w:rsidR="00565F28" w:rsidRPr="00C4677F" w:rsidRDefault="00565F28" w:rsidP="00565F28">
      <w:pPr>
        <w:autoSpaceDE w:val="0"/>
        <w:autoSpaceDN w:val="0"/>
        <w:adjustRightInd w:val="0"/>
        <w:jc w:val="both"/>
      </w:pPr>
    </w:p>
    <w:p w14:paraId="0E7AB472" w14:textId="77777777" w:rsidR="00565F28" w:rsidRPr="00C4677F" w:rsidRDefault="00565F28" w:rsidP="00565F28">
      <w:pPr>
        <w:autoSpaceDE w:val="0"/>
        <w:autoSpaceDN w:val="0"/>
        <w:adjustRightInd w:val="0"/>
        <w:jc w:val="both"/>
      </w:pPr>
      <w:r w:rsidRPr="00C4677F">
        <w:t>También, se registra en este rubro lo siguiente:</w:t>
      </w:r>
    </w:p>
    <w:p w14:paraId="14693CC7" w14:textId="77777777" w:rsidR="00565F28" w:rsidRPr="00C4677F" w:rsidRDefault="00565F28" w:rsidP="00565F28">
      <w:pPr>
        <w:autoSpaceDE w:val="0"/>
        <w:autoSpaceDN w:val="0"/>
        <w:adjustRightInd w:val="0"/>
        <w:jc w:val="both"/>
      </w:pPr>
    </w:p>
    <w:p w14:paraId="244D5D16" w14:textId="77777777" w:rsidR="00565F28" w:rsidRPr="008876FF" w:rsidRDefault="00565F28" w:rsidP="00565F28">
      <w:pPr>
        <w:pStyle w:val="Prrafodelista"/>
        <w:numPr>
          <w:ilvl w:val="0"/>
          <w:numId w:val="2"/>
        </w:numPr>
        <w:spacing w:after="120"/>
        <w:ind w:left="357" w:hanging="357"/>
        <w:contextualSpacing w:val="0"/>
        <w:jc w:val="both"/>
        <w:rPr>
          <w:rFonts w:ascii="Arial" w:eastAsia="MS Mincho" w:hAnsi="Arial"/>
          <w:szCs w:val="20"/>
        </w:rPr>
      </w:pPr>
      <w:r>
        <w:rPr>
          <w:rFonts w:ascii="Arial" w:eastAsia="MS Mincho" w:hAnsi="Arial"/>
          <w:szCs w:val="20"/>
        </w:rPr>
        <w:t>Los ingresos obtenidos en los centros locales r</w:t>
      </w:r>
      <w:r w:rsidRPr="008876FF">
        <w:rPr>
          <w:rFonts w:ascii="Arial" w:eastAsia="MS Mincho" w:hAnsi="Arial"/>
          <w:szCs w:val="20"/>
        </w:rPr>
        <w:t>ecaudatorios por el pago de impuestos,</w:t>
      </w:r>
      <w:r>
        <w:rPr>
          <w:rFonts w:ascii="Arial" w:eastAsia="MS Mincho" w:hAnsi="Arial"/>
          <w:szCs w:val="20"/>
        </w:rPr>
        <w:t xml:space="preserve"> derechos, productos, aprovechamientos y por venta de bienes y prestación de servicios.</w:t>
      </w:r>
    </w:p>
    <w:p w14:paraId="46F8D0B6" w14:textId="77777777" w:rsidR="00565F28" w:rsidRPr="005B0DCF" w:rsidRDefault="00565F28" w:rsidP="00565F28">
      <w:pPr>
        <w:pStyle w:val="Prrafodelista"/>
        <w:numPr>
          <w:ilvl w:val="0"/>
          <w:numId w:val="2"/>
        </w:numPr>
        <w:spacing w:after="120"/>
        <w:ind w:left="357" w:hanging="357"/>
        <w:contextualSpacing w:val="0"/>
        <w:jc w:val="both"/>
        <w:rPr>
          <w:rFonts w:ascii="Arial" w:eastAsia="MS Mincho" w:hAnsi="Arial"/>
          <w:szCs w:val="20"/>
        </w:rPr>
      </w:pPr>
      <w:r w:rsidRPr="008876FF">
        <w:rPr>
          <w:rFonts w:ascii="Arial" w:hAnsi="Arial"/>
          <w:szCs w:val="20"/>
        </w:rPr>
        <w:t>Los recursos colocados en inversiones en mesa de dinero</w:t>
      </w:r>
      <w:r>
        <w:rPr>
          <w:rFonts w:ascii="Arial" w:hAnsi="Arial"/>
          <w:szCs w:val="20"/>
        </w:rPr>
        <w:t>.</w:t>
      </w:r>
    </w:p>
    <w:p w14:paraId="526BA70A" w14:textId="77777777" w:rsidR="00565F28" w:rsidRPr="008876FF" w:rsidRDefault="00565F28" w:rsidP="00565F28">
      <w:pPr>
        <w:pStyle w:val="Prrafodelista"/>
        <w:numPr>
          <w:ilvl w:val="0"/>
          <w:numId w:val="2"/>
        </w:numPr>
        <w:spacing w:after="120"/>
        <w:ind w:left="357" w:hanging="357"/>
        <w:contextualSpacing w:val="0"/>
        <w:jc w:val="both"/>
        <w:rPr>
          <w:rFonts w:ascii="Arial" w:eastAsia="MS Mincho" w:hAnsi="Arial"/>
          <w:szCs w:val="20"/>
        </w:rPr>
      </w:pPr>
      <w:r w:rsidRPr="008876FF">
        <w:rPr>
          <w:rFonts w:ascii="Arial" w:eastAsia="MS Mincho" w:hAnsi="Arial"/>
          <w:szCs w:val="20"/>
        </w:rPr>
        <w:t xml:space="preserve">Los depósitos otorgados a terceros por el servicio de arrendamiento de instalaciones o equipos utilizados por los </w:t>
      </w:r>
      <w:r>
        <w:rPr>
          <w:rFonts w:ascii="Arial" w:eastAsia="MS Mincho" w:hAnsi="Arial"/>
          <w:szCs w:val="20"/>
        </w:rPr>
        <w:t>entes</w:t>
      </w:r>
      <w:r w:rsidRPr="008876FF">
        <w:rPr>
          <w:rFonts w:ascii="Arial" w:eastAsia="MS Mincho" w:hAnsi="Arial"/>
          <w:szCs w:val="20"/>
        </w:rPr>
        <w:t xml:space="preserve"> públicos.</w:t>
      </w:r>
    </w:p>
    <w:p w14:paraId="06F40B12" w14:textId="77777777" w:rsidR="00565F28" w:rsidRPr="008876FF" w:rsidRDefault="00565F28" w:rsidP="00565F28">
      <w:pPr>
        <w:pStyle w:val="Prrafodelista"/>
        <w:numPr>
          <w:ilvl w:val="0"/>
          <w:numId w:val="2"/>
        </w:numPr>
        <w:spacing w:after="120"/>
        <w:ind w:left="357" w:hanging="357"/>
        <w:contextualSpacing w:val="0"/>
        <w:jc w:val="both"/>
        <w:rPr>
          <w:rFonts w:ascii="Arial" w:eastAsia="MS Mincho" w:hAnsi="Arial"/>
          <w:szCs w:val="20"/>
        </w:rPr>
      </w:pPr>
      <w:r>
        <w:rPr>
          <w:rFonts w:ascii="Arial" w:hAnsi="Arial"/>
          <w:szCs w:val="20"/>
        </w:rPr>
        <w:t>Los rendimientos con recursos por ingresos de libre disposición y por transferencias federales etiquetadas.</w:t>
      </w:r>
    </w:p>
    <w:p w14:paraId="5B595C3F" w14:textId="77777777" w:rsidR="00565F28" w:rsidRPr="00C4677F" w:rsidRDefault="00565F28" w:rsidP="00565F28">
      <w:pPr>
        <w:autoSpaceDE w:val="0"/>
        <w:autoSpaceDN w:val="0"/>
        <w:adjustRightInd w:val="0"/>
        <w:jc w:val="both"/>
      </w:pPr>
    </w:p>
    <w:p w14:paraId="0E34CB42" w14:textId="77777777" w:rsidR="00565F28" w:rsidRPr="00C4677F" w:rsidRDefault="00565F28" w:rsidP="00565F28">
      <w:pPr>
        <w:autoSpaceDE w:val="0"/>
        <w:autoSpaceDN w:val="0"/>
        <w:adjustRightInd w:val="0"/>
        <w:jc w:val="both"/>
      </w:pPr>
      <w:r w:rsidRPr="00C4677F">
        <w:t>Asimismo, se incluye el fondo revolvente y cuentas por gastos a comprobar asignado a funcionarios del Poder Ejecutivo, para cubrir gastos menores y emergentes.</w:t>
      </w:r>
    </w:p>
    <w:p w14:paraId="1A666BCF" w14:textId="77777777" w:rsidR="00565F28" w:rsidRPr="00C4677F" w:rsidRDefault="00565F28" w:rsidP="00565F28">
      <w:pPr>
        <w:autoSpaceDE w:val="0"/>
        <w:autoSpaceDN w:val="0"/>
        <w:adjustRightInd w:val="0"/>
        <w:jc w:val="both"/>
      </w:pPr>
    </w:p>
    <w:p w14:paraId="6642ACF4" w14:textId="77777777" w:rsidR="00565F28" w:rsidRPr="00C4677F" w:rsidRDefault="00565F28" w:rsidP="00565F28">
      <w:pPr>
        <w:autoSpaceDE w:val="0"/>
        <w:autoSpaceDN w:val="0"/>
        <w:adjustRightInd w:val="0"/>
        <w:jc w:val="both"/>
      </w:pPr>
      <w:r w:rsidRPr="00C4677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0B74DF">
        <w:t>al 3</w:t>
      </w:r>
      <w:r>
        <w:t>1</w:t>
      </w:r>
      <w:r w:rsidRPr="000B74DF">
        <w:t xml:space="preserve"> de </w:t>
      </w:r>
      <w:r>
        <w:t xml:space="preserve">diciembre </w:t>
      </w:r>
      <w:r w:rsidRPr="00C4677F">
        <w:t xml:space="preserve">de </w:t>
      </w:r>
      <w:r>
        <w:t>2022</w:t>
      </w:r>
      <w:r w:rsidRPr="00C4677F">
        <w:t xml:space="preserve"> y que incide en el patrimonio del Poder Ejecutivo. </w:t>
      </w:r>
    </w:p>
    <w:p w14:paraId="26F1F4CB" w14:textId="77777777" w:rsidR="00565F28" w:rsidRPr="00C4677F" w:rsidRDefault="00565F28" w:rsidP="00565F28">
      <w:pPr>
        <w:autoSpaceDE w:val="0"/>
        <w:autoSpaceDN w:val="0"/>
        <w:adjustRightInd w:val="0"/>
        <w:jc w:val="both"/>
      </w:pPr>
    </w:p>
    <w:p w14:paraId="2B48D5A8" w14:textId="77777777" w:rsidR="00565F28" w:rsidRPr="00C4677F" w:rsidRDefault="00565F28" w:rsidP="00565F28">
      <w:pPr>
        <w:autoSpaceDE w:val="0"/>
        <w:autoSpaceDN w:val="0"/>
        <w:adjustRightInd w:val="0"/>
        <w:jc w:val="center"/>
      </w:pPr>
      <w:r w:rsidRPr="00673B17">
        <w:rPr>
          <w:noProof/>
          <w:lang w:eastAsia="es-MX"/>
        </w:rPr>
        <w:drawing>
          <wp:inline distT="0" distB="0" distL="0" distR="0" wp14:anchorId="6DDA08E5" wp14:editId="60943904">
            <wp:extent cx="4371975" cy="20478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inline>
        </w:drawing>
      </w:r>
    </w:p>
    <w:p w14:paraId="24395391" w14:textId="77777777" w:rsidR="00565F28" w:rsidRDefault="00565F28" w:rsidP="00565F28">
      <w:pPr>
        <w:autoSpaceDE w:val="0"/>
        <w:autoSpaceDN w:val="0"/>
        <w:adjustRightInd w:val="0"/>
        <w:jc w:val="both"/>
        <w:rPr>
          <w:b/>
          <w:i/>
        </w:rPr>
      </w:pPr>
    </w:p>
    <w:p w14:paraId="4647AABB" w14:textId="77777777" w:rsidR="00565F28" w:rsidRPr="00C4677F" w:rsidRDefault="00565F28" w:rsidP="00565F28">
      <w:pPr>
        <w:autoSpaceDE w:val="0"/>
        <w:autoSpaceDN w:val="0"/>
        <w:adjustRightInd w:val="0"/>
        <w:jc w:val="both"/>
        <w:rPr>
          <w:b/>
          <w:i/>
        </w:rPr>
      </w:pPr>
    </w:p>
    <w:p w14:paraId="466DA598" w14:textId="77777777" w:rsidR="00565F28" w:rsidRPr="000B74DF" w:rsidRDefault="00565F28" w:rsidP="00565F28">
      <w:pPr>
        <w:jc w:val="both"/>
        <w:outlineLvl w:val="0"/>
        <w:rPr>
          <w:b/>
          <w:bCs/>
          <w:i/>
          <w:iCs w:val="0"/>
        </w:rPr>
      </w:pPr>
      <w:r w:rsidRPr="000B74DF">
        <w:rPr>
          <w:b/>
          <w:bCs/>
          <w:i/>
        </w:rPr>
        <w:t>Derechos a recibir efectivo o equivalentes</w:t>
      </w:r>
    </w:p>
    <w:p w14:paraId="77769401" w14:textId="77777777" w:rsidR="00565F28" w:rsidRPr="00C4677F" w:rsidRDefault="00565F28" w:rsidP="00565F28">
      <w:pPr>
        <w:autoSpaceDE w:val="0"/>
        <w:autoSpaceDN w:val="0"/>
        <w:adjustRightInd w:val="0"/>
        <w:jc w:val="both"/>
        <w:rPr>
          <w:b/>
        </w:rPr>
      </w:pPr>
    </w:p>
    <w:p w14:paraId="1B18D7C3" w14:textId="77777777" w:rsidR="00565F28" w:rsidRPr="00C4677F" w:rsidRDefault="00565F28" w:rsidP="00565F28">
      <w:pPr>
        <w:autoSpaceDE w:val="0"/>
        <w:autoSpaceDN w:val="0"/>
        <w:adjustRightInd w:val="0"/>
        <w:jc w:val="both"/>
      </w:pPr>
      <w:r>
        <w:t xml:space="preserve">Al </w:t>
      </w:r>
      <w:r w:rsidRPr="000B74DF">
        <w:t>3</w:t>
      </w:r>
      <w:r>
        <w:t>1</w:t>
      </w:r>
      <w:r w:rsidRPr="000B74DF">
        <w:t xml:space="preserve"> de </w:t>
      </w:r>
      <w:r>
        <w:t>diciembre</w:t>
      </w:r>
      <w:r w:rsidRPr="000B74DF">
        <w:t xml:space="preserve"> </w:t>
      </w:r>
      <w:r w:rsidRPr="00C4677F">
        <w:t xml:space="preserve">de </w:t>
      </w:r>
      <w:r>
        <w:t>2022</w:t>
      </w:r>
      <w:r w:rsidRPr="00C4677F">
        <w:t>, el rubro de derechos a recibir efectivo o equivalentes, se compone por:</w:t>
      </w:r>
    </w:p>
    <w:p w14:paraId="231A0ECF" w14:textId="77777777" w:rsidR="00565F28" w:rsidRPr="00C4677F" w:rsidRDefault="00565F28" w:rsidP="00565F28">
      <w:pPr>
        <w:autoSpaceDE w:val="0"/>
        <w:autoSpaceDN w:val="0"/>
        <w:adjustRightInd w:val="0"/>
        <w:jc w:val="both"/>
      </w:pPr>
    </w:p>
    <w:p w14:paraId="39B6F32A" w14:textId="77777777" w:rsidR="00565F28" w:rsidRDefault="00565F28" w:rsidP="00565F28">
      <w:pPr>
        <w:jc w:val="both"/>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así como, </w:t>
      </w:r>
      <w:r w:rsidRPr="008876FF">
        <w:rPr>
          <w:rFonts w:eastAsia="Arial"/>
        </w:rPr>
        <w:t xml:space="preserve">las transferencias internas de recursos por depositar a </w:t>
      </w:r>
      <w:r>
        <w:rPr>
          <w:rFonts w:eastAsia="Arial"/>
        </w:rPr>
        <w:t>entes</w:t>
      </w:r>
      <w:r w:rsidRPr="008876FF">
        <w:rPr>
          <w:rFonts w:eastAsia="Arial"/>
        </w:rPr>
        <w:t xml:space="preserve"> públicos</w:t>
      </w:r>
      <w:r>
        <w:rPr>
          <w:rFonts w:eastAsia="Arial"/>
        </w:rPr>
        <w:t>.</w:t>
      </w:r>
    </w:p>
    <w:p w14:paraId="3A9B758A" w14:textId="77777777" w:rsidR="00565F28" w:rsidRPr="008876FF" w:rsidRDefault="00565F28" w:rsidP="00565F28">
      <w:pPr>
        <w:jc w:val="both"/>
        <w:rPr>
          <w:rFonts w:eastAsia="Arial"/>
        </w:rPr>
      </w:pPr>
    </w:p>
    <w:p w14:paraId="78F8FC75" w14:textId="77777777" w:rsidR="00565F28" w:rsidRPr="000B74DF" w:rsidRDefault="00565F28" w:rsidP="00565F28">
      <w:pPr>
        <w:jc w:val="both"/>
        <w:rPr>
          <w:rFonts w:eastAsia="Arial"/>
        </w:rPr>
      </w:pPr>
      <w:r w:rsidRPr="0021464B">
        <w:rPr>
          <w:rFonts w:eastAsia="Arial"/>
        </w:rPr>
        <w:t xml:space="preserve">Los descuentos realizados a la participación federal por concepto </w:t>
      </w:r>
      <w:r w:rsidRPr="00703109">
        <w:rPr>
          <w:rFonts w:eastAsia="Arial"/>
        </w:rPr>
        <w:t xml:space="preserve">de </w:t>
      </w:r>
      <w:r>
        <w:rPr>
          <w:rFonts w:eastAsia="Arial"/>
        </w:rPr>
        <w:t>adeudos al</w:t>
      </w:r>
      <w:r w:rsidRPr="00FB00B4">
        <w:rPr>
          <w:rFonts w:eastAsia="Arial"/>
        </w:rPr>
        <w:t xml:space="preserve"> Instituto de Seguridad y Servicios Sociales de los</w:t>
      </w:r>
      <w:r>
        <w:rPr>
          <w:rFonts w:eastAsia="Arial"/>
        </w:rPr>
        <w:t xml:space="preserve"> Trabajadores del Estado (ISSSTE), gastos a comprobar, deudores por responsabilidades</w:t>
      </w:r>
      <w:r w:rsidRPr="000B74DF">
        <w:rPr>
          <w:rFonts w:eastAsia="Arial"/>
        </w:rPr>
        <w:t xml:space="preserve">, depósitos indebidos y </w:t>
      </w:r>
      <w:r>
        <w:rPr>
          <w:rFonts w:eastAsia="Arial"/>
        </w:rPr>
        <w:t>cargos bancarios por aclarar.</w:t>
      </w:r>
    </w:p>
    <w:p w14:paraId="02F9FFBB" w14:textId="77777777" w:rsidR="00565F28" w:rsidRPr="00C4677F" w:rsidRDefault="00565F28" w:rsidP="00565F28">
      <w:pPr>
        <w:jc w:val="both"/>
      </w:pPr>
    </w:p>
    <w:p w14:paraId="4BD459B6" w14:textId="77777777" w:rsidR="00565F28" w:rsidRDefault="00565F28" w:rsidP="00565F28">
      <w:pPr>
        <w:autoSpaceDE w:val="0"/>
        <w:autoSpaceDN w:val="0"/>
        <w:adjustRightInd w:val="0"/>
        <w:jc w:val="both"/>
      </w:pPr>
      <w:r w:rsidRPr="00C4677F">
        <w:t xml:space="preserve">En su totalidad este rubro asciende a </w:t>
      </w:r>
      <w:r>
        <w:t>35.4</w:t>
      </w:r>
      <w:r w:rsidRPr="00C4677F">
        <w:t xml:space="preserve"> millones de pesos y representa el </w:t>
      </w:r>
      <w:r>
        <w:t xml:space="preserve">0.3 % </w:t>
      </w:r>
      <w:r w:rsidRPr="00C4677F">
        <w:t>del total del activo circulante.</w:t>
      </w:r>
    </w:p>
    <w:p w14:paraId="2C827E7A" w14:textId="77777777" w:rsidR="00565F28" w:rsidRDefault="00565F28" w:rsidP="00565F28">
      <w:pPr>
        <w:autoSpaceDE w:val="0"/>
        <w:autoSpaceDN w:val="0"/>
        <w:adjustRightInd w:val="0"/>
        <w:jc w:val="both"/>
      </w:pPr>
    </w:p>
    <w:p w14:paraId="253AD342" w14:textId="77777777" w:rsidR="00565F28" w:rsidRPr="00C4677F" w:rsidRDefault="00565F28" w:rsidP="00565F28">
      <w:pPr>
        <w:autoSpaceDE w:val="0"/>
        <w:autoSpaceDN w:val="0"/>
        <w:adjustRightInd w:val="0"/>
        <w:jc w:val="both"/>
      </w:pPr>
    </w:p>
    <w:p w14:paraId="5CC742A6" w14:textId="77777777" w:rsidR="00565F28" w:rsidRPr="00C4677F" w:rsidRDefault="00565F28" w:rsidP="00565F28">
      <w:pPr>
        <w:autoSpaceDE w:val="0"/>
        <w:autoSpaceDN w:val="0"/>
        <w:adjustRightInd w:val="0"/>
        <w:jc w:val="center"/>
      </w:pPr>
      <w:r w:rsidRPr="00673B17">
        <w:rPr>
          <w:noProof/>
          <w:lang w:eastAsia="es-MX"/>
        </w:rPr>
        <w:lastRenderedPageBreak/>
        <w:drawing>
          <wp:inline distT="0" distB="0" distL="0" distR="0" wp14:anchorId="315C4A29" wp14:editId="3C95DC77">
            <wp:extent cx="4371975" cy="14763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6354B292" w14:textId="77777777" w:rsidR="00565F28" w:rsidRPr="00C4677F" w:rsidRDefault="00565F28" w:rsidP="00565F28">
      <w:pPr>
        <w:autoSpaceDE w:val="0"/>
        <w:autoSpaceDN w:val="0"/>
        <w:adjustRightInd w:val="0"/>
        <w:jc w:val="both"/>
      </w:pPr>
    </w:p>
    <w:p w14:paraId="435363D4" w14:textId="77777777" w:rsidR="00565F28" w:rsidRPr="00DF4FA7" w:rsidRDefault="00565F28" w:rsidP="00565F28">
      <w:pPr>
        <w:autoSpaceDE w:val="0"/>
        <w:autoSpaceDN w:val="0"/>
        <w:adjustRightInd w:val="0"/>
        <w:jc w:val="both"/>
        <w:rPr>
          <w:b/>
          <w:i/>
        </w:rPr>
      </w:pPr>
      <w:r w:rsidRPr="00DF4FA7">
        <w:rPr>
          <w:b/>
          <w:i/>
        </w:rPr>
        <w:t>Derechos a Recibir Bienes o Servicios</w:t>
      </w:r>
    </w:p>
    <w:p w14:paraId="71299F38" w14:textId="77777777" w:rsidR="00565F28" w:rsidRPr="008876FF" w:rsidRDefault="00565F28" w:rsidP="00565F28">
      <w:pPr>
        <w:outlineLvl w:val="0"/>
        <w:rPr>
          <w:b/>
          <w:bCs/>
          <w:i/>
          <w:iCs w:val="0"/>
        </w:rPr>
      </w:pPr>
    </w:p>
    <w:p w14:paraId="64CE1410" w14:textId="77777777" w:rsidR="00565F28" w:rsidRDefault="00565F28" w:rsidP="00565F28">
      <w:pPr>
        <w:autoSpaceDE w:val="0"/>
        <w:autoSpaceDN w:val="0"/>
        <w:adjustRightInd w:val="0"/>
        <w:jc w:val="both"/>
      </w:pPr>
      <w:r>
        <w:t>El saldo de este rubro por 40.1</w:t>
      </w:r>
      <w:r w:rsidRPr="008876FF">
        <w:t xml:space="preserve"> millones de pesos, de los derechos a recibir bienes o servicios, corresponde a los a los anticipos otorgados a contratistas para la ejecución de obras en proceso, en bienes propios y en bienes de dominio </w:t>
      </w:r>
      <w:r>
        <w:t xml:space="preserve">público del Poder Ejecutivo, </w:t>
      </w:r>
      <w:r w:rsidRPr="000B74DF">
        <w:t>al 3</w:t>
      </w:r>
      <w:r>
        <w:t>1</w:t>
      </w:r>
      <w:r w:rsidRPr="000B74DF">
        <w:t xml:space="preserve"> de </w:t>
      </w:r>
      <w:r>
        <w:t>diciembre de 2022.</w:t>
      </w:r>
      <w:r w:rsidRPr="008876FF">
        <w:t xml:space="preserve"> </w:t>
      </w:r>
    </w:p>
    <w:p w14:paraId="50E4993B" w14:textId="77777777" w:rsidR="00565F28" w:rsidRDefault="00565F28" w:rsidP="00565F28">
      <w:pPr>
        <w:autoSpaceDE w:val="0"/>
        <w:autoSpaceDN w:val="0"/>
        <w:adjustRightInd w:val="0"/>
      </w:pPr>
    </w:p>
    <w:p w14:paraId="6CD74A17" w14:textId="77777777" w:rsidR="00565F28" w:rsidRPr="008876FF" w:rsidRDefault="00565F28" w:rsidP="00565F28">
      <w:pPr>
        <w:autoSpaceDE w:val="0"/>
        <w:autoSpaceDN w:val="0"/>
        <w:adjustRightInd w:val="0"/>
      </w:pPr>
      <w:r w:rsidRPr="008876FF">
        <w:t>Respecto al total del act</w:t>
      </w:r>
      <w:r>
        <w:t>ivo circulante representa el 0.4 %.</w:t>
      </w:r>
    </w:p>
    <w:p w14:paraId="1A425682" w14:textId="77777777" w:rsidR="00565F28" w:rsidRPr="008876FF" w:rsidRDefault="00565F28" w:rsidP="00565F28">
      <w:pPr>
        <w:autoSpaceDE w:val="0"/>
        <w:autoSpaceDN w:val="0"/>
        <w:adjustRightInd w:val="0"/>
      </w:pPr>
    </w:p>
    <w:p w14:paraId="7DFD8054" w14:textId="77777777" w:rsidR="00565F28" w:rsidRDefault="00565F28" w:rsidP="00565F28">
      <w:pPr>
        <w:jc w:val="center"/>
        <w:outlineLvl w:val="0"/>
        <w:rPr>
          <w:b/>
          <w:bCs/>
          <w:i/>
        </w:rPr>
      </w:pPr>
      <w:r w:rsidRPr="00673B17">
        <w:rPr>
          <w:noProof/>
          <w:lang w:eastAsia="es-MX"/>
        </w:rPr>
        <w:drawing>
          <wp:inline distT="0" distB="0" distL="0" distR="0" wp14:anchorId="5C378557" wp14:editId="590338B7">
            <wp:extent cx="4371975" cy="10953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131252F" w14:textId="77777777" w:rsidR="00565F28" w:rsidRPr="00C4677F" w:rsidRDefault="00565F28" w:rsidP="00565F28">
      <w:pPr>
        <w:rPr>
          <w:b/>
          <w:i/>
        </w:rPr>
      </w:pPr>
    </w:p>
    <w:p w14:paraId="556C298E" w14:textId="77777777" w:rsidR="00565F28" w:rsidRPr="00C4677F" w:rsidRDefault="00565F28" w:rsidP="00565F28">
      <w:pPr>
        <w:autoSpaceDE w:val="0"/>
        <w:autoSpaceDN w:val="0"/>
        <w:adjustRightInd w:val="0"/>
        <w:jc w:val="both"/>
        <w:rPr>
          <w:b/>
          <w:i/>
        </w:rPr>
      </w:pPr>
      <w:r w:rsidRPr="00C4677F">
        <w:rPr>
          <w:b/>
          <w:i/>
        </w:rPr>
        <w:t>Almacenes</w:t>
      </w:r>
    </w:p>
    <w:p w14:paraId="3183103E" w14:textId="77777777" w:rsidR="00565F28" w:rsidRPr="00C4677F" w:rsidRDefault="00565F28" w:rsidP="00565F28">
      <w:pPr>
        <w:autoSpaceDE w:val="0"/>
        <w:autoSpaceDN w:val="0"/>
        <w:adjustRightInd w:val="0"/>
        <w:jc w:val="both"/>
        <w:rPr>
          <w:b/>
          <w:i/>
        </w:rPr>
      </w:pPr>
    </w:p>
    <w:p w14:paraId="0C12EFCC" w14:textId="77777777" w:rsidR="00565F28" w:rsidRDefault="00565F28" w:rsidP="00565F28">
      <w:pPr>
        <w:autoSpaceDE w:val="0"/>
        <w:autoSpaceDN w:val="0"/>
        <w:adjustRightInd w:val="0"/>
        <w:jc w:val="both"/>
        <w:rPr>
          <w:lang w:eastAsia="es-MX"/>
        </w:rPr>
      </w:pPr>
      <w:r w:rsidRPr="008876FF">
        <w:rPr>
          <w:lang w:eastAsia="es-MX"/>
        </w:rPr>
        <w:t>El ru</w:t>
      </w:r>
      <w:r>
        <w:rPr>
          <w:lang w:eastAsia="es-MX"/>
        </w:rPr>
        <w:t>bro de almacenes asciende a 83.5</w:t>
      </w:r>
      <w:r w:rsidRPr="008876FF">
        <w:rPr>
          <w:lang w:eastAsia="es-MX"/>
        </w:rPr>
        <w:t xml:space="preserve"> millo</w:t>
      </w:r>
      <w:r>
        <w:rPr>
          <w:lang w:eastAsia="es-MX"/>
        </w:rPr>
        <w:t xml:space="preserve">nes de pesos y representa el 0.7 % </w:t>
      </w:r>
      <w:r w:rsidRPr="008876FF">
        <w:rPr>
          <w:lang w:eastAsia="es-MX"/>
        </w:rPr>
        <w:t xml:space="preserve">del total del activo circulante, y refleja la existencia física de consumibles que se tienen en los almacenes </w:t>
      </w:r>
      <w:r w:rsidRPr="000B74DF">
        <w:t>al 3</w:t>
      </w:r>
      <w:r>
        <w:t>1</w:t>
      </w:r>
      <w:r w:rsidRPr="000B74DF">
        <w:t xml:space="preserve"> de </w:t>
      </w:r>
      <w:r>
        <w:t>diciembre</w:t>
      </w:r>
      <w:r w:rsidRPr="000B74DF">
        <w:t xml:space="preserve"> </w:t>
      </w:r>
      <w:r w:rsidRPr="008876FF">
        <w:rPr>
          <w:lang w:eastAsia="es-MX"/>
        </w:rPr>
        <w:t xml:space="preserve">de </w:t>
      </w:r>
      <w:r>
        <w:rPr>
          <w:lang w:eastAsia="es-MX"/>
        </w:rPr>
        <w:t>2022</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14:paraId="4D860D58" w14:textId="77777777" w:rsidR="00565F28" w:rsidRPr="00C4677F" w:rsidRDefault="00565F28" w:rsidP="00565F28">
      <w:pPr>
        <w:autoSpaceDE w:val="0"/>
        <w:autoSpaceDN w:val="0"/>
        <w:adjustRightInd w:val="0"/>
        <w:jc w:val="both"/>
        <w:rPr>
          <w:lang w:eastAsia="es-MX"/>
        </w:rPr>
      </w:pPr>
    </w:p>
    <w:p w14:paraId="2ABAD791" w14:textId="77777777" w:rsidR="00565F28" w:rsidRPr="00C4677F" w:rsidRDefault="00565F28" w:rsidP="00565F28">
      <w:pPr>
        <w:autoSpaceDE w:val="0"/>
        <w:autoSpaceDN w:val="0"/>
        <w:adjustRightInd w:val="0"/>
        <w:jc w:val="center"/>
        <w:rPr>
          <w:lang w:eastAsia="es-MX"/>
        </w:rPr>
      </w:pPr>
      <w:r w:rsidRPr="00673B17">
        <w:rPr>
          <w:noProof/>
          <w:lang w:eastAsia="es-MX"/>
        </w:rPr>
        <w:drawing>
          <wp:inline distT="0" distB="0" distL="0" distR="0" wp14:anchorId="6BA3A3B6" wp14:editId="7FCC7825">
            <wp:extent cx="4371975" cy="10953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5CEC8D0C" w14:textId="77777777" w:rsidR="00565F28" w:rsidRPr="00C4677F" w:rsidRDefault="00565F28" w:rsidP="00565F28">
      <w:pPr>
        <w:autoSpaceDE w:val="0"/>
        <w:autoSpaceDN w:val="0"/>
        <w:adjustRightInd w:val="0"/>
        <w:jc w:val="both"/>
      </w:pPr>
    </w:p>
    <w:p w14:paraId="79EBE81D" w14:textId="77777777" w:rsidR="00565F28" w:rsidRDefault="00565F28" w:rsidP="00565F28">
      <w:pPr>
        <w:autoSpaceDE w:val="0"/>
        <w:autoSpaceDN w:val="0"/>
        <w:adjustRightInd w:val="0"/>
        <w:jc w:val="both"/>
      </w:pPr>
    </w:p>
    <w:p w14:paraId="6A3489CF" w14:textId="77777777" w:rsidR="00565F28" w:rsidRPr="00C4677F" w:rsidRDefault="00565F28" w:rsidP="00565F28">
      <w:pPr>
        <w:autoSpaceDE w:val="0"/>
        <w:autoSpaceDN w:val="0"/>
        <w:adjustRightInd w:val="0"/>
        <w:jc w:val="both"/>
      </w:pPr>
    </w:p>
    <w:p w14:paraId="21DC0394" w14:textId="77777777" w:rsidR="00565F28" w:rsidRDefault="00565F28">
      <w:pPr>
        <w:rPr>
          <w:b/>
          <w:bCs/>
        </w:rPr>
      </w:pPr>
      <w:r>
        <w:rPr>
          <w:b/>
          <w:bCs/>
        </w:rPr>
        <w:br w:type="page"/>
      </w:r>
    </w:p>
    <w:p w14:paraId="7C97ABFA" w14:textId="41333681" w:rsidR="00565F28" w:rsidRPr="000B74DF" w:rsidRDefault="00565F28" w:rsidP="00565F28">
      <w:pPr>
        <w:autoSpaceDE w:val="0"/>
        <w:autoSpaceDN w:val="0"/>
        <w:adjustRightInd w:val="0"/>
        <w:rPr>
          <w:b/>
          <w:bCs/>
        </w:rPr>
      </w:pPr>
      <w:r>
        <w:rPr>
          <w:b/>
          <w:bCs/>
        </w:rPr>
        <w:lastRenderedPageBreak/>
        <w:t xml:space="preserve">No </w:t>
      </w:r>
      <w:r w:rsidRPr="000B74DF">
        <w:rPr>
          <w:b/>
          <w:bCs/>
        </w:rPr>
        <w:t>Circulante</w:t>
      </w:r>
    </w:p>
    <w:p w14:paraId="61AD9798" w14:textId="69D47DE0" w:rsidR="00565F28" w:rsidRDefault="00565F28" w:rsidP="00565F28">
      <w:pPr>
        <w:pBdr>
          <w:top w:val="single" w:sz="4" w:space="1" w:color="C0C0C0"/>
        </w:pBdr>
        <w:autoSpaceDE w:val="0"/>
        <w:autoSpaceDN w:val="0"/>
        <w:adjustRightInd w:val="0"/>
        <w:jc w:val="center"/>
        <w:rPr>
          <w:noProof/>
          <w:lang w:eastAsia="es-MX"/>
        </w:rPr>
      </w:pPr>
    </w:p>
    <w:p w14:paraId="17EDF5A3" w14:textId="6FD25367" w:rsidR="00565F28" w:rsidRPr="00C4677F" w:rsidRDefault="00565F28" w:rsidP="00565F28">
      <w:pPr>
        <w:pBdr>
          <w:top w:val="single" w:sz="4" w:space="1" w:color="C0C0C0"/>
        </w:pBdr>
        <w:autoSpaceDE w:val="0"/>
        <w:autoSpaceDN w:val="0"/>
        <w:adjustRightInd w:val="0"/>
        <w:jc w:val="center"/>
      </w:pPr>
      <w:r>
        <w:rPr>
          <w:noProof/>
        </w:rPr>
        <w:drawing>
          <wp:inline distT="0" distB="0" distL="0" distR="0" wp14:anchorId="07A313DA" wp14:editId="3719B21A">
            <wp:extent cx="3371215" cy="4547870"/>
            <wp:effectExtent l="0" t="0" r="635"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215" cy="4547870"/>
                    </a:xfrm>
                    <a:prstGeom prst="rect">
                      <a:avLst/>
                    </a:prstGeom>
                    <a:noFill/>
                  </pic:spPr>
                </pic:pic>
              </a:graphicData>
            </a:graphic>
          </wp:inline>
        </w:drawing>
      </w:r>
    </w:p>
    <w:p w14:paraId="5B9D9322" w14:textId="77777777" w:rsidR="00565F28" w:rsidRPr="00C4677F" w:rsidRDefault="00565F28" w:rsidP="00565F28">
      <w:pPr>
        <w:pBdr>
          <w:top w:val="single" w:sz="4" w:space="1" w:color="C0C0C0"/>
        </w:pBdr>
        <w:autoSpaceDE w:val="0"/>
        <w:autoSpaceDN w:val="0"/>
        <w:adjustRightInd w:val="0"/>
      </w:pPr>
    </w:p>
    <w:p w14:paraId="4722754A" w14:textId="77777777" w:rsidR="00565F28" w:rsidRPr="00565F28" w:rsidRDefault="00565F28" w:rsidP="00565F28">
      <w:pPr>
        <w:autoSpaceDE w:val="0"/>
        <w:autoSpaceDN w:val="0"/>
        <w:adjustRightInd w:val="0"/>
        <w:jc w:val="both"/>
        <w:rPr>
          <w:b/>
          <w:bCs/>
          <w:i/>
          <w:iCs w:val="0"/>
        </w:rPr>
      </w:pPr>
      <w:r w:rsidRPr="00565F28">
        <w:rPr>
          <w:b/>
          <w:bCs/>
          <w:i/>
        </w:rPr>
        <w:t>Inversiones financieras a largo plazo</w:t>
      </w:r>
    </w:p>
    <w:p w14:paraId="0FFA6DFB" w14:textId="77777777" w:rsidR="00565F28" w:rsidRPr="00565F28" w:rsidRDefault="00565F28" w:rsidP="00565F28">
      <w:pPr>
        <w:jc w:val="both"/>
      </w:pPr>
    </w:p>
    <w:p w14:paraId="1559DE59" w14:textId="77777777" w:rsidR="00565F28" w:rsidRPr="00565F28" w:rsidRDefault="00565F28" w:rsidP="00565F28">
      <w:pPr>
        <w:jc w:val="both"/>
      </w:pPr>
      <w:r w:rsidRPr="00565F28">
        <w:t>El saldo por 1 mil 24.4 millones de pesos al 31 de diciembre de 2022, representa las erogaciones recuperables por la asignación de créditos directos o mediante fondos para actividades productivas, la adquisición de valores y las inversiones, los fideicomisos del Poder Ejecutivo, orientados al fomento y financiamiento agroindustrial, al desarrollo social, al comercio, a los servicios educativos, a los servicios turísticos, así como, al desarrollo agropecuario y ambiental.</w:t>
      </w:r>
    </w:p>
    <w:p w14:paraId="33B3BD98" w14:textId="77777777" w:rsidR="00565F28" w:rsidRPr="00565F28" w:rsidRDefault="00565F28" w:rsidP="00565F28">
      <w:pPr>
        <w:jc w:val="both"/>
      </w:pPr>
    </w:p>
    <w:p w14:paraId="117D5214" w14:textId="77777777" w:rsidR="00565F28" w:rsidRPr="00565F28" w:rsidRDefault="00565F28" w:rsidP="00565F28">
      <w:pPr>
        <w:spacing w:line="360" w:lineRule="auto"/>
        <w:jc w:val="both"/>
      </w:pPr>
      <w:r w:rsidRPr="00565F28">
        <w:t>Del total del activo no circulante, el 1.9 % corresponde a este rubro, integrado por la concesión de créditos, protección social en salud y por las aportaciones de capital en el sector privado. A continuación, se mencionan los saldos más representativos:</w:t>
      </w:r>
    </w:p>
    <w:p w14:paraId="0FC28549" w14:textId="77777777" w:rsidR="00565F28" w:rsidRPr="00565F28" w:rsidRDefault="00565F28" w:rsidP="00565F28">
      <w:pPr>
        <w:jc w:val="both"/>
      </w:pPr>
    </w:p>
    <w:p w14:paraId="348007F4" w14:textId="77777777" w:rsidR="00565F28" w:rsidRPr="00565F28" w:rsidRDefault="00565F28" w:rsidP="00565F28">
      <w:pPr>
        <w:jc w:val="both"/>
        <w:rPr>
          <w:b/>
        </w:rPr>
      </w:pPr>
      <w:r w:rsidRPr="00565F28">
        <w:t>Títulos y valores a largo plazo</w:t>
      </w:r>
      <w:r w:rsidRPr="00565F28">
        <w:rPr>
          <w:b/>
        </w:rPr>
        <w:t>:</w:t>
      </w:r>
    </w:p>
    <w:p w14:paraId="2EBDEB97" w14:textId="77777777" w:rsidR="00565F28" w:rsidRPr="00565F28" w:rsidRDefault="00565F28" w:rsidP="00565F28">
      <w:pPr>
        <w:jc w:val="both"/>
        <w:rPr>
          <w:b/>
        </w:rPr>
      </w:pPr>
    </w:p>
    <w:p w14:paraId="4703D26D"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Protección social en salud.</w:t>
      </w:r>
    </w:p>
    <w:p w14:paraId="78AC7FE1"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Fondo Chiapas-SINCA.</w:t>
      </w:r>
    </w:p>
    <w:p w14:paraId="0CB2C43E"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Concesión de créditos a productores.</w:t>
      </w:r>
    </w:p>
    <w:p w14:paraId="411F2869" w14:textId="77777777" w:rsidR="00565F28" w:rsidRPr="00565F28" w:rsidRDefault="00565F28" w:rsidP="00565F28">
      <w:pPr>
        <w:jc w:val="both"/>
      </w:pPr>
    </w:p>
    <w:p w14:paraId="635E0C39" w14:textId="77777777" w:rsidR="00565F28" w:rsidRPr="00565F28" w:rsidRDefault="00565F28" w:rsidP="00565F28">
      <w:pPr>
        <w:jc w:val="both"/>
      </w:pPr>
      <w:r w:rsidRPr="00565F28">
        <w:t>Fideicomisos, mandatos y contratos análogos destacándose los siguientes:</w:t>
      </w:r>
    </w:p>
    <w:p w14:paraId="2A07DCDF" w14:textId="77777777" w:rsidR="00565F28" w:rsidRPr="00565F28" w:rsidRDefault="00565F28" w:rsidP="00565F28">
      <w:pPr>
        <w:jc w:val="both"/>
      </w:pPr>
    </w:p>
    <w:p w14:paraId="0AB11BA6"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de Apoyo para la Atención de Personas Mayores de 64 Años (FAAPEM64).</w:t>
      </w:r>
    </w:p>
    <w:p w14:paraId="477E7177"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lastRenderedPageBreak/>
        <w:t>Fideicomiso Irrevocable de Inversión y Administración para el Programa Especial de Financiamiento a la Vivienda para el Magisterio del Estado de Chiapas (FOVIMCHIS).</w:t>
      </w:r>
    </w:p>
    <w:p w14:paraId="58D3CAFB"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Programa Nacional de Becas para la Educación Superior (MANUTENCIÓN antes PRONABES).</w:t>
      </w:r>
    </w:p>
    <w:p w14:paraId="501ED679"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 xml:space="preserve">Fideicomiso de Apoyo de Tecnologías Educativas y de la Información para Maestros de Educación Básica del Estado de Chiapas (FOAPES). </w:t>
      </w:r>
    </w:p>
    <w:p w14:paraId="4A16D140"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para la Promoción, Difusión y Comercialización de los Atractivos Turísticos del Estado de Chiapas (FIDETUR).</w:t>
      </w:r>
    </w:p>
    <w:p w14:paraId="6866504D"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Fondo Estatal Ambiental (FESA).</w:t>
      </w:r>
    </w:p>
    <w:p w14:paraId="382381D3"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Fondo de Apoyo a la Economía de las Mujeres (FAEM).</w:t>
      </w:r>
    </w:p>
    <w:p w14:paraId="45384C0D"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Fondo de Fomento Agropecuario del Estado de Chiapas (FOFAE).</w:t>
      </w:r>
    </w:p>
    <w:p w14:paraId="1BCA64BE"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del Fondo Estatal de Desarrollo Comercial, Agropecuario y Agroindustrial (FEDCAA).</w:t>
      </w:r>
    </w:p>
    <w:p w14:paraId="3E879495"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de Apoyo a las Necesidades de los Cafeticultores del Estado de Chiapas (FANCAFE).</w:t>
      </w:r>
    </w:p>
    <w:p w14:paraId="725BDD82"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Fortalecimiento al Fondo de Financiamiento para las Empresas de Solidaridad Social del Sector Artesanal de Chiapas (FOFESSA).</w:t>
      </w:r>
    </w:p>
    <w:p w14:paraId="494DCC12"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para la Habilitación y Administración del Recinto Fiscalizado Estratégico Puerto Chiapas.</w:t>
      </w:r>
    </w:p>
    <w:p w14:paraId="489AB484"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Fondo de Fomento Económico Chiapas Solidario (FOFOE).</w:t>
      </w:r>
    </w:p>
    <w:p w14:paraId="720C0DF5"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Fideicomiso para el Impulso de Programas Prioritarios en el Estado de Chiapas (FIPRECH).</w:t>
      </w:r>
    </w:p>
    <w:p w14:paraId="53806052" w14:textId="77777777" w:rsidR="00565F28" w:rsidRPr="00565F28" w:rsidRDefault="00565F28" w:rsidP="00565F28">
      <w:pPr>
        <w:jc w:val="both"/>
      </w:pPr>
    </w:p>
    <w:p w14:paraId="7EFC0E6A" w14:textId="77777777" w:rsidR="00565F28" w:rsidRPr="00565F28" w:rsidRDefault="00565F28" w:rsidP="00565F28">
      <w:pPr>
        <w:jc w:val="both"/>
      </w:pPr>
      <w:r w:rsidRPr="00565F28">
        <w:t>Asimismo, se encuentran las participaciones y aportaciones de capital:</w:t>
      </w:r>
    </w:p>
    <w:p w14:paraId="26C1F68A" w14:textId="77777777" w:rsidR="00565F28" w:rsidRPr="00565F28" w:rsidRDefault="00565F28" w:rsidP="00565F28">
      <w:pPr>
        <w:jc w:val="both"/>
      </w:pPr>
    </w:p>
    <w:p w14:paraId="7A1BD3B0"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Acciones y participaciones en el sector público.</w:t>
      </w:r>
    </w:p>
    <w:p w14:paraId="1894F2B0" w14:textId="77777777" w:rsidR="00565F28" w:rsidRPr="00565F28" w:rsidRDefault="00565F28" w:rsidP="00565F28">
      <w:pPr>
        <w:pStyle w:val="Prrafodelista"/>
        <w:numPr>
          <w:ilvl w:val="0"/>
          <w:numId w:val="3"/>
        </w:numPr>
        <w:spacing w:after="120"/>
        <w:ind w:left="357" w:hanging="357"/>
        <w:contextualSpacing w:val="0"/>
        <w:jc w:val="both"/>
        <w:rPr>
          <w:rFonts w:ascii="Arial" w:hAnsi="Arial"/>
          <w:sz w:val="20"/>
          <w:szCs w:val="20"/>
        </w:rPr>
      </w:pPr>
      <w:r w:rsidRPr="00565F28">
        <w:rPr>
          <w:rFonts w:ascii="Arial" w:hAnsi="Arial"/>
          <w:sz w:val="20"/>
          <w:szCs w:val="20"/>
        </w:rPr>
        <w:t>Vector, S.A. de C.V.</w:t>
      </w:r>
    </w:p>
    <w:p w14:paraId="252F0535" w14:textId="77777777" w:rsidR="00565F28" w:rsidRPr="00565F28" w:rsidRDefault="00565F28" w:rsidP="00565F28">
      <w:pPr>
        <w:pStyle w:val="Prrafodelista"/>
        <w:numPr>
          <w:ilvl w:val="0"/>
          <w:numId w:val="3"/>
        </w:numPr>
        <w:spacing w:after="120"/>
        <w:ind w:left="357" w:hanging="357"/>
        <w:contextualSpacing w:val="0"/>
        <w:jc w:val="both"/>
        <w:rPr>
          <w:sz w:val="20"/>
          <w:szCs w:val="20"/>
        </w:rPr>
      </w:pPr>
      <w:r w:rsidRPr="00565F28">
        <w:rPr>
          <w:rFonts w:ascii="Arial" w:hAnsi="Arial"/>
          <w:sz w:val="20"/>
          <w:szCs w:val="20"/>
        </w:rPr>
        <w:t>Protección social en salud.</w:t>
      </w:r>
    </w:p>
    <w:p w14:paraId="17E78FBC" w14:textId="77777777" w:rsidR="00565F28" w:rsidRPr="00565F28" w:rsidRDefault="00565F28" w:rsidP="00565F28"/>
    <w:p w14:paraId="2981CBBB" w14:textId="77777777" w:rsidR="00565F28" w:rsidRPr="00565F28" w:rsidRDefault="00565F28" w:rsidP="00565F28">
      <w:pPr>
        <w:jc w:val="center"/>
      </w:pPr>
      <w:r w:rsidRPr="00565F28">
        <w:rPr>
          <w:noProof/>
          <w:lang w:eastAsia="es-MX"/>
        </w:rPr>
        <w:drawing>
          <wp:inline distT="0" distB="0" distL="0" distR="0" wp14:anchorId="32A7D3DD" wp14:editId="6B779A7A">
            <wp:extent cx="4371975" cy="160972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737193C1" w14:textId="77777777" w:rsidR="00565F28" w:rsidRPr="00565F28" w:rsidRDefault="00565F28" w:rsidP="00565F28"/>
    <w:p w14:paraId="673E569C" w14:textId="77777777" w:rsidR="00565F28" w:rsidRPr="00565F28" w:rsidRDefault="00565F28" w:rsidP="00565F28"/>
    <w:p w14:paraId="5D8D967B" w14:textId="77777777" w:rsidR="00565F28" w:rsidRPr="00565F28" w:rsidRDefault="00565F28" w:rsidP="00565F28">
      <w:pPr>
        <w:autoSpaceDE w:val="0"/>
        <w:autoSpaceDN w:val="0"/>
        <w:adjustRightInd w:val="0"/>
        <w:jc w:val="both"/>
        <w:rPr>
          <w:b/>
          <w:bCs/>
          <w:i/>
        </w:rPr>
      </w:pPr>
      <w:r w:rsidRPr="00565F28">
        <w:rPr>
          <w:b/>
          <w:bCs/>
          <w:i/>
        </w:rPr>
        <w:t>Derechos a recibir efectivo o equivalentes a largo plazo</w:t>
      </w:r>
    </w:p>
    <w:p w14:paraId="1BD2D789" w14:textId="77777777" w:rsidR="00565F28" w:rsidRPr="00565F28" w:rsidRDefault="00565F28" w:rsidP="00565F28">
      <w:pPr>
        <w:autoSpaceDE w:val="0"/>
        <w:autoSpaceDN w:val="0"/>
        <w:adjustRightInd w:val="0"/>
        <w:jc w:val="both"/>
      </w:pPr>
    </w:p>
    <w:p w14:paraId="02A35700" w14:textId="77777777" w:rsidR="00565F28" w:rsidRPr="00565F28" w:rsidRDefault="00565F28" w:rsidP="00565F28">
      <w:pPr>
        <w:jc w:val="both"/>
        <w:rPr>
          <w:rFonts w:eastAsia="Arial"/>
        </w:rPr>
      </w:pPr>
      <w:r w:rsidRPr="00565F28">
        <w:rPr>
          <w:rFonts w:eastAsia="Arial"/>
        </w:rPr>
        <w:t xml:space="preserve">Este rubro del activo asciende a 5 mil 526.5 millones de pesos al </w:t>
      </w:r>
      <w:r w:rsidRPr="00565F28">
        <w:t xml:space="preserve">31 de diciembre </w:t>
      </w:r>
      <w:r w:rsidRPr="00565F28">
        <w:rPr>
          <w:rFonts w:eastAsia="Arial"/>
        </w:rPr>
        <w:t>de 2022 y representa el 10 % del total del activo no circulante y se integra principalmente por:</w:t>
      </w:r>
    </w:p>
    <w:p w14:paraId="4F4D3F44" w14:textId="77777777" w:rsidR="00565F28" w:rsidRPr="00565F28" w:rsidRDefault="00565F28" w:rsidP="00565F28">
      <w:pPr>
        <w:jc w:val="both"/>
        <w:rPr>
          <w:rFonts w:eastAsia="Arial"/>
        </w:rPr>
      </w:pPr>
    </w:p>
    <w:p w14:paraId="6180EA3F" w14:textId="77777777" w:rsidR="00565F28" w:rsidRPr="00565F28" w:rsidRDefault="00565F28" w:rsidP="00565F28">
      <w:pPr>
        <w:jc w:val="both"/>
        <w:rPr>
          <w:rFonts w:eastAsia="Arial"/>
        </w:rPr>
      </w:pPr>
      <w:r w:rsidRPr="00565F28">
        <w:rPr>
          <w:rFonts w:eastAsia="Arial"/>
        </w:rPr>
        <w:t>Los anticipos de ministraciones a municipios, los préstamos a largo plazo concedidos a funcionarios y empleados del Poder Ejecutivo pendientes de recuperar, los préstamos con recursos ajenos, los préstamos para programas agropecuarios, así como, por las cuotas y aportaciones patronales pagadas en demasía.</w:t>
      </w:r>
    </w:p>
    <w:p w14:paraId="29A75BDD" w14:textId="77777777" w:rsidR="00565F28" w:rsidRPr="00565F28" w:rsidRDefault="00565F28" w:rsidP="00565F28">
      <w:pPr>
        <w:jc w:val="both"/>
        <w:rPr>
          <w:rFonts w:eastAsia="Arial"/>
        </w:rPr>
      </w:pPr>
    </w:p>
    <w:p w14:paraId="147BF31F" w14:textId="77777777" w:rsidR="00565F28" w:rsidRPr="00565F28" w:rsidRDefault="00565F28" w:rsidP="00565F28">
      <w:pPr>
        <w:jc w:val="both"/>
        <w:rPr>
          <w:rFonts w:eastAsia="Arial"/>
        </w:rPr>
      </w:pPr>
      <w:r w:rsidRPr="00565F28">
        <w:rPr>
          <w:rFonts w:eastAsia="Arial"/>
        </w:rPr>
        <w:t xml:space="preserve">Los descuentos realizados a la participación federal por concepto de adeudos al Instituto de Seguridad y Servicios Sociales de los Trabajadores del Estado (ISSSTE) y del Impuesto Sobre la Renta (ISR); gastos a comprobar, deudores por responsabilidades, deudores por obra pública (cadenas productivas), deudores sujetos a resolución judicial por </w:t>
      </w:r>
      <w:r w:rsidRPr="00565F28">
        <w:rPr>
          <w:rFonts w:eastAsia="Arial"/>
        </w:rPr>
        <w:lastRenderedPageBreak/>
        <w:t>concepto de manejo de valores y bienes inventariables, deudores por laudos, pagos en demasía, cheques devueltos y cargos bancarios por aclarar.</w:t>
      </w:r>
    </w:p>
    <w:p w14:paraId="722AAAD3" w14:textId="77777777" w:rsidR="00565F28" w:rsidRPr="00565F28" w:rsidRDefault="00565F28" w:rsidP="00565F28">
      <w:pPr>
        <w:jc w:val="both"/>
        <w:rPr>
          <w:rFonts w:eastAsia="Arial"/>
        </w:rPr>
      </w:pPr>
    </w:p>
    <w:p w14:paraId="69E85431" w14:textId="77777777" w:rsidR="00565F28" w:rsidRPr="00565F28" w:rsidRDefault="00565F28" w:rsidP="00565F28">
      <w:pPr>
        <w:jc w:val="both"/>
        <w:rPr>
          <w:rFonts w:eastAsia="Arial"/>
        </w:rPr>
      </w:pPr>
      <w:r w:rsidRPr="00565F28">
        <w:rPr>
          <w:rFonts w:eastAsia="Arial"/>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10F2B93D" w14:textId="77777777" w:rsidR="00565F28" w:rsidRPr="00565F28" w:rsidRDefault="00565F28" w:rsidP="00565F28">
      <w:pPr>
        <w:jc w:val="both"/>
        <w:rPr>
          <w:rFonts w:eastAsia="Arial"/>
        </w:rPr>
      </w:pPr>
    </w:p>
    <w:p w14:paraId="4AB9200B" w14:textId="77777777" w:rsidR="00565F28" w:rsidRPr="00565F28" w:rsidRDefault="00565F28" w:rsidP="00565F28">
      <w:pPr>
        <w:jc w:val="both"/>
        <w:rPr>
          <w:rFonts w:eastAsia="Arial"/>
        </w:rPr>
      </w:pPr>
      <w:r w:rsidRPr="00565F28">
        <w:rPr>
          <w:rFonts w:eastAsia="Arial"/>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y la emisión de cheques de caja.</w:t>
      </w:r>
    </w:p>
    <w:p w14:paraId="3B0F1964" w14:textId="77777777" w:rsidR="00565F28" w:rsidRPr="00565F28" w:rsidRDefault="00565F28" w:rsidP="00565F28">
      <w:pPr>
        <w:jc w:val="both"/>
        <w:rPr>
          <w:rFonts w:eastAsia="Arial"/>
        </w:rPr>
      </w:pPr>
    </w:p>
    <w:p w14:paraId="4D4DF189" w14:textId="77777777" w:rsidR="00565F28" w:rsidRPr="00565F28" w:rsidRDefault="00565F28" w:rsidP="00565F28">
      <w:pPr>
        <w:jc w:val="center"/>
      </w:pPr>
      <w:r w:rsidRPr="00565F28">
        <w:rPr>
          <w:noProof/>
          <w:lang w:eastAsia="es-MX"/>
        </w:rPr>
        <w:drawing>
          <wp:inline distT="0" distB="0" distL="0" distR="0" wp14:anchorId="666E2850" wp14:editId="2B0D77C8">
            <wp:extent cx="4371975" cy="185737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857375"/>
                    </a:xfrm>
                    <a:prstGeom prst="rect">
                      <a:avLst/>
                    </a:prstGeom>
                    <a:noFill/>
                    <a:ln>
                      <a:noFill/>
                    </a:ln>
                  </pic:spPr>
                </pic:pic>
              </a:graphicData>
            </a:graphic>
          </wp:inline>
        </w:drawing>
      </w:r>
    </w:p>
    <w:p w14:paraId="4237F74D" w14:textId="77777777" w:rsidR="00565F28" w:rsidRPr="00565F28" w:rsidRDefault="00565F28" w:rsidP="00565F28">
      <w:pPr>
        <w:autoSpaceDE w:val="0"/>
        <w:autoSpaceDN w:val="0"/>
        <w:adjustRightInd w:val="0"/>
        <w:outlineLvl w:val="0"/>
        <w:rPr>
          <w:b/>
          <w:bCs/>
          <w:i/>
        </w:rPr>
      </w:pPr>
    </w:p>
    <w:p w14:paraId="78171957" w14:textId="77777777" w:rsidR="00565F28" w:rsidRPr="00565F28" w:rsidRDefault="00565F28" w:rsidP="00565F28">
      <w:pPr>
        <w:autoSpaceDE w:val="0"/>
        <w:autoSpaceDN w:val="0"/>
        <w:adjustRightInd w:val="0"/>
        <w:outlineLvl w:val="0"/>
        <w:rPr>
          <w:b/>
          <w:bCs/>
          <w:i/>
        </w:rPr>
      </w:pPr>
    </w:p>
    <w:p w14:paraId="29340CAD" w14:textId="77777777" w:rsidR="00565F28" w:rsidRPr="00565F28" w:rsidRDefault="00565F28" w:rsidP="00565F28">
      <w:pPr>
        <w:autoSpaceDE w:val="0"/>
        <w:autoSpaceDN w:val="0"/>
        <w:adjustRightInd w:val="0"/>
        <w:jc w:val="both"/>
        <w:rPr>
          <w:b/>
          <w:bCs/>
          <w:i/>
        </w:rPr>
      </w:pPr>
      <w:r w:rsidRPr="00565F28">
        <w:rPr>
          <w:b/>
          <w:bCs/>
          <w:i/>
        </w:rPr>
        <w:t>Bienes inmuebles, infraestructura y construcciones en proceso</w:t>
      </w:r>
    </w:p>
    <w:p w14:paraId="4CD71C3E" w14:textId="77777777" w:rsidR="00565F28" w:rsidRPr="00565F28" w:rsidRDefault="00565F28" w:rsidP="00565F28">
      <w:pPr>
        <w:jc w:val="both"/>
      </w:pPr>
    </w:p>
    <w:p w14:paraId="736356BB" w14:textId="77777777" w:rsidR="00565F28" w:rsidRPr="00565F28" w:rsidRDefault="00565F28" w:rsidP="00565F28">
      <w:pPr>
        <w:autoSpaceDE w:val="0"/>
        <w:autoSpaceDN w:val="0"/>
        <w:adjustRightInd w:val="0"/>
        <w:jc w:val="both"/>
      </w:pPr>
      <w:r w:rsidRPr="00565F28">
        <w:t>Al 31 de diciembre de 2022, este rubro del activo refleja la cifra de 41 mil 364.4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45032677" w14:textId="77777777" w:rsidR="00565F28" w:rsidRPr="00565F28" w:rsidRDefault="00565F28" w:rsidP="00565F28">
      <w:pPr>
        <w:autoSpaceDE w:val="0"/>
        <w:autoSpaceDN w:val="0"/>
        <w:adjustRightInd w:val="0"/>
        <w:jc w:val="both"/>
      </w:pPr>
    </w:p>
    <w:p w14:paraId="24E777AD" w14:textId="77777777" w:rsidR="00565F28" w:rsidRPr="00565F28" w:rsidRDefault="00565F28" w:rsidP="00565F28">
      <w:pPr>
        <w:pStyle w:val="Textoindependiente"/>
      </w:pPr>
      <w:r w:rsidRPr="00565F28">
        <w:t>Del total del activo no circulante, este rubro representa el 75 %.</w:t>
      </w:r>
    </w:p>
    <w:p w14:paraId="5EE6F685" w14:textId="77777777" w:rsidR="00565F28" w:rsidRPr="00565F28" w:rsidRDefault="00565F28" w:rsidP="00565F28">
      <w:pPr>
        <w:pStyle w:val="Textoindependiente"/>
      </w:pPr>
    </w:p>
    <w:p w14:paraId="5D8C41E1" w14:textId="77777777" w:rsidR="00565F28" w:rsidRPr="00565F28" w:rsidRDefault="00565F28" w:rsidP="00565F28">
      <w:pPr>
        <w:autoSpaceDE w:val="0"/>
        <w:autoSpaceDN w:val="0"/>
        <w:adjustRightInd w:val="0"/>
        <w:jc w:val="center"/>
        <w:outlineLvl w:val="0"/>
        <w:rPr>
          <w:b/>
          <w:bCs/>
          <w:i/>
        </w:rPr>
      </w:pPr>
      <w:r w:rsidRPr="00565F28">
        <w:rPr>
          <w:noProof/>
          <w:lang w:eastAsia="es-MX"/>
        </w:rPr>
        <w:drawing>
          <wp:inline distT="0" distB="0" distL="0" distR="0" wp14:anchorId="3EB8EAA7" wp14:editId="570EEEF2">
            <wp:extent cx="4371975" cy="23145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2314575"/>
                    </a:xfrm>
                    <a:prstGeom prst="rect">
                      <a:avLst/>
                    </a:prstGeom>
                    <a:noFill/>
                    <a:ln>
                      <a:noFill/>
                    </a:ln>
                  </pic:spPr>
                </pic:pic>
              </a:graphicData>
            </a:graphic>
          </wp:inline>
        </w:drawing>
      </w:r>
    </w:p>
    <w:p w14:paraId="68C82E5A" w14:textId="77777777" w:rsidR="00565F28" w:rsidRPr="00565F28" w:rsidRDefault="00565F28" w:rsidP="00565F28">
      <w:pPr>
        <w:autoSpaceDE w:val="0"/>
        <w:autoSpaceDN w:val="0"/>
        <w:adjustRightInd w:val="0"/>
        <w:outlineLvl w:val="0"/>
        <w:rPr>
          <w:b/>
          <w:bCs/>
          <w:i/>
        </w:rPr>
      </w:pPr>
    </w:p>
    <w:p w14:paraId="62A715D3" w14:textId="77777777" w:rsidR="00565F28" w:rsidRPr="00565F28" w:rsidRDefault="00565F28" w:rsidP="00565F28">
      <w:pPr>
        <w:autoSpaceDE w:val="0"/>
        <w:autoSpaceDN w:val="0"/>
        <w:adjustRightInd w:val="0"/>
        <w:outlineLvl w:val="0"/>
        <w:rPr>
          <w:b/>
          <w:bCs/>
          <w:i/>
        </w:rPr>
      </w:pPr>
    </w:p>
    <w:p w14:paraId="3EFD2568" w14:textId="77777777" w:rsidR="00565F28" w:rsidRPr="00565F28" w:rsidRDefault="00565F28" w:rsidP="00565F28">
      <w:pPr>
        <w:autoSpaceDE w:val="0"/>
        <w:autoSpaceDN w:val="0"/>
        <w:adjustRightInd w:val="0"/>
        <w:jc w:val="both"/>
        <w:rPr>
          <w:b/>
          <w:bCs/>
          <w:i/>
        </w:rPr>
      </w:pPr>
      <w:r w:rsidRPr="00565F28">
        <w:rPr>
          <w:b/>
          <w:bCs/>
          <w:i/>
        </w:rPr>
        <w:t>Bienes muebles</w:t>
      </w:r>
    </w:p>
    <w:p w14:paraId="1090D3E3" w14:textId="77777777" w:rsidR="00565F28" w:rsidRPr="00565F28" w:rsidRDefault="00565F28" w:rsidP="00565F28">
      <w:pPr>
        <w:autoSpaceDE w:val="0"/>
        <w:autoSpaceDN w:val="0"/>
        <w:adjustRightInd w:val="0"/>
      </w:pPr>
    </w:p>
    <w:p w14:paraId="1F1D5B6C" w14:textId="77777777" w:rsidR="00565F28" w:rsidRPr="00565F28" w:rsidRDefault="00565F28" w:rsidP="00565F28">
      <w:pPr>
        <w:autoSpaceDE w:val="0"/>
        <w:autoSpaceDN w:val="0"/>
        <w:adjustRightInd w:val="0"/>
        <w:jc w:val="both"/>
      </w:pPr>
      <w:r w:rsidRPr="00565F28">
        <w:t xml:space="preserve">Este renglón del activo refleja el valor de los bienes muebles que posee el Poder Ejecutivo y que al 31 de diciembre de 2022, asciende a un monto global de  2 mil 865.0 millones de pesos y  representa el 5.2 % respecto al total del activo no circulante, integrándose por: mobiliario y equipo de administración, mobiliario y equipo educacional y recreativo, equipo e instrumental médico y de laboratorio, vehículos y equipo de transporte, equipo de defensa y seguridad, </w:t>
      </w:r>
      <w:r w:rsidRPr="00565F28">
        <w:lastRenderedPageBreak/>
        <w:t xml:space="preserve">maquinaria, otros equipos y herramientas, colecciones de obras de arte y objetos valiosos, y activos biológicos; los cuales son necesarios para la operatividad y el desarrollo de las funciones de los diferentes entes públicos que la conforman. </w:t>
      </w:r>
    </w:p>
    <w:p w14:paraId="3EDD943C" w14:textId="5FBD6769" w:rsidR="00565F28" w:rsidRPr="00565F28" w:rsidRDefault="00565F28" w:rsidP="00565F28">
      <w:pPr>
        <w:autoSpaceDE w:val="0"/>
        <w:autoSpaceDN w:val="0"/>
        <w:adjustRightInd w:val="0"/>
        <w:jc w:val="both"/>
      </w:pPr>
    </w:p>
    <w:p w14:paraId="558CA4C7" w14:textId="77777777" w:rsidR="00565F28" w:rsidRPr="00565F28" w:rsidRDefault="00565F28" w:rsidP="00565F28">
      <w:pPr>
        <w:jc w:val="center"/>
      </w:pPr>
      <w:r w:rsidRPr="00565F28">
        <w:rPr>
          <w:noProof/>
          <w:lang w:eastAsia="es-MX"/>
        </w:rPr>
        <w:drawing>
          <wp:inline distT="0" distB="0" distL="0" distR="0" wp14:anchorId="72F1916D" wp14:editId="386508CC">
            <wp:extent cx="4371975" cy="28289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28925"/>
                    </a:xfrm>
                    <a:prstGeom prst="rect">
                      <a:avLst/>
                    </a:prstGeom>
                    <a:noFill/>
                    <a:ln>
                      <a:noFill/>
                    </a:ln>
                  </pic:spPr>
                </pic:pic>
              </a:graphicData>
            </a:graphic>
          </wp:inline>
        </w:drawing>
      </w:r>
    </w:p>
    <w:p w14:paraId="0F9A3E1D" w14:textId="77777777" w:rsidR="00565F28" w:rsidRPr="00565F28" w:rsidRDefault="00565F28" w:rsidP="00565F28"/>
    <w:p w14:paraId="2B4D8D84" w14:textId="77777777" w:rsidR="00565F28" w:rsidRPr="00565F28" w:rsidRDefault="00565F28" w:rsidP="00565F28"/>
    <w:p w14:paraId="593AD685" w14:textId="77777777" w:rsidR="00565F28" w:rsidRPr="00565F28" w:rsidRDefault="00565F28" w:rsidP="00565F28">
      <w:pPr>
        <w:autoSpaceDE w:val="0"/>
        <w:autoSpaceDN w:val="0"/>
        <w:adjustRightInd w:val="0"/>
        <w:jc w:val="both"/>
        <w:rPr>
          <w:b/>
          <w:bCs/>
          <w:i/>
        </w:rPr>
      </w:pPr>
      <w:r w:rsidRPr="00565F28">
        <w:rPr>
          <w:b/>
          <w:bCs/>
          <w:i/>
        </w:rPr>
        <w:t>Activos intangibles</w:t>
      </w:r>
    </w:p>
    <w:p w14:paraId="414496CA" w14:textId="77777777" w:rsidR="00565F28" w:rsidRPr="00565F28" w:rsidRDefault="00565F28" w:rsidP="00565F28">
      <w:pPr>
        <w:autoSpaceDE w:val="0"/>
        <w:autoSpaceDN w:val="0"/>
        <w:adjustRightInd w:val="0"/>
        <w:jc w:val="both"/>
      </w:pPr>
    </w:p>
    <w:p w14:paraId="7F59A17D" w14:textId="77777777" w:rsidR="00565F28" w:rsidRPr="00565F28" w:rsidRDefault="00565F28" w:rsidP="00565F28">
      <w:pPr>
        <w:autoSpaceDE w:val="0"/>
        <w:autoSpaceDN w:val="0"/>
        <w:adjustRightInd w:val="0"/>
        <w:jc w:val="both"/>
      </w:pPr>
      <w:r w:rsidRPr="00565F28">
        <w:t>Al 31 de diciembre de 2022, este rubro asciende a 94.8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entes públicos que la conforma.</w:t>
      </w:r>
    </w:p>
    <w:p w14:paraId="2C953E02" w14:textId="77777777" w:rsidR="00565F28" w:rsidRPr="00565F28" w:rsidRDefault="00565F28" w:rsidP="00565F28">
      <w:pPr>
        <w:autoSpaceDE w:val="0"/>
        <w:autoSpaceDN w:val="0"/>
        <w:adjustRightInd w:val="0"/>
        <w:jc w:val="both"/>
      </w:pPr>
    </w:p>
    <w:p w14:paraId="7478A778" w14:textId="77777777" w:rsidR="00565F28" w:rsidRPr="00565F28" w:rsidRDefault="00565F28" w:rsidP="00565F28">
      <w:pPr>
        <w:autoSpaceDE w:val="0"/>
        <w:autoSpaceDN w:val="0"/>
        <w:adjustRightInd w:val="0"/>
        <w:jc w:val="both"/>
      </w:pPr>
      <w:r w:rsidRPr="00565F28">
        <w:t>Este rubro representa el 0.2 % del total del activo no circulante.</w:t>
      </w:r>
    </w:p>
    <w:p w14:paraId="53BD9124" w14:textId="77777777" w:rsidR="00565F28" w:rsidRPr="00565F28" w:rsidRDefault="00565F28" w:rsidP="00565F28">
      <w:pPr>
        <w:autoSpaceDE w:val="0"/>
        <w:autoSpaceDN w:val="0"/>
        <w:adjustRightInd w:val="0"/>
        <w:jc w:val="both"/>
      </w:pPr>
    </w:p>
    <w:p w14:paraId="2A75F74F" w14:textId="77777777" w:rsidR="00565F28" w:rsidRPr="00565F28" w:rsidRDefault="00565F28" w:rsidP="00565F28">
      <w:pPr>
        <w:autoSpaceDE w:val="0"/>
        <w:autoSpaceDN w:val="0"/>
        <w:adjustRightInd w:val="0"/>
        <w:jc w:val="center"/>
      </w:pPr>
      <w:r w:rsidRPr="00565F28">
        <w:rPr>
          <w:noProof/>
          <w:lang w:eastAsia="es-MX"/>
        </w:rPr>
        <w:drawing>
          <wp:inline distT="0" distB="0" distL="0" distR="0" wp14:anchorId="170F39E0" wp14:editId="3E2C0FF4">
            <wp:extent cx="4371975" cy="15335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33525"/>
                    </a:xfrm>
                    <a:prstGeom prst="rect">
                      <a:avLst/>
                    </a:prstGeom>
                    <a:noFill/>
                    <a:ln>
                      <a:noFill/>
                    </a:ln>
                  </pic:spPr>
                </pic:pic>
              </a:graphicData>
            </a:graphic>
          </wp:inline>
        </w:drawing>
      </w:r>
    </w:p>
    <w:p w14:paraId="0A9D5464" w14:textId="77777777" w:rsidR="00565F28" w:rsidRPr="00565F28" w:rsidRDefault="00565F28" w:rsidP="00565F28">
      <w:pPr>
        <w:autoSpaceDE w:val="0"/>
        <w:autoSpaceDN w:val="0"/>
        <w:adjustRightInd w:val="0"/>
        <w:jc w:val="both"/>
        <w:outlineLvl w:val="0"/>
        <w:rPr>
          <w:b/>
          <w:bCs/>
          <w:i/>
          <w:iCs w:val="0"/>
        </w:rPr>
      </w:pPr>
    </w:p>
    <w:p w14:paraId="50BB26C4" w14:textId="77777777" w:rsidR="00565F28" w:rsidRPr="00565F28" w:rsidRDefault="00565F28" w:rsidP="00565F28">
      <w:pPr>
        <w:autoSpaceDE w:val="0"/>
        <w:autoSpaceDN w:val="0"/>
        <w:adjustRightInd w:val="0"/>
        <w:jc w:val="both"/>
        <w:outlineLvl w:val="0"/>
        <w:rPr>
          <w:b/>
          <w:bCs/>
          <w:i/>
          <w:iCs w:val="0"/>
        </w:rPr>
      </w:pPr>
    </w:p>
    <w:p w14:paraId="36CB0E03" w14:textId="77777777" w:rsidR="00565F28" w:rsidRPr="00565F28" w:rsidRDefault="00565F28" w:rsidP="00565F28">
      <w:pPr>
        <w:autoSpaceDE w:val="0"/>
        <w:autoSpaceDN w:val="0"/>
        <w:adjustRightInd w:val="0"/>
        <w:jc w:val="both"/>
        <w:rPr>
          <w:b/>
          <w:bCs/>
          <w:i/>
        </w:rPr>
      </w:pPr>
      <w:r w:rsidRPr="00565F28">
        <w:rPr>
          <w:b/>
          <w:bCs/>
          <w:i/>
        </w:rPr>
        <w:t>Depreciación, deterioro y amortización acumulada de bienes</w:t>
      </w:r>
    </w:p>
    <w:p w14:paraId="26E556A4" w14:textId="77777777" w:rsidR="00565F28" w:rsidRPr="00565F28" w:rsidRDefault="00565F28" w:rsidP="00565F28">
      <w:pPr>
        <w:jc w:val="both"/>
        <w:outlineLvl w:val="0"/>
        <w:rPr>
          <w:b/>
          <w:bCs/>
        </w:rPr>
      </w:pPr>
    </w:p>
    <w:p w14:paraId="4739AB58" w14:textId="77777777" w:rsidR="00565F28" w:rsidRPr="00565F28" w:rsidRDefault="00565F28" w:rsidP="00565F28">
      <w:pPr>
        <w:pStyle w:val="Textoindependiente"/>
      </w:pPr>
      <w:r w:rsidRPr="00565F28">
        <w:t>El saldo negativo de este rubro del activo por 39.3 millones de pesos, representa el valor de la depreciación y amortización efectuada a los bienes tangibles e intangibles que forman parte de los activos de los entes públicos del Poder Ejecutivo, utilizando el procedimiento establecido por el Consejo Nacional de Armonización Contable (CONAC), aplicados por los entes públicos en el ejercicio 2022.</w:t>
      </w:r>
    </w:p>
    <w:p w14:paraId="0A6F19AD" w14:textId="77777777" w:rsidR="00565F28" w:rsidRPr="00565F28" w:rsidRDefault="00565F28" w:rsidP="00565F28">
      <w:pPr>
        <w:autoSpaceDE w:val="0"/>
        <w:autoSpaceDN w:val="0"/>
        <w:adjustRightInd w:val="0"/>
        <w:jc w:val="both"/>
      </w:pPr>
    </w:p>
    <w:p w14:paraId="6338B8FE" w14:textId="77777777" w:rsidR="00565F28" w:rsidRPr="00565F28" w:rsidRDefault="00565F28" w:rsidP="00565F28">
      <w:pPr>
        <w:jc w:val="both"/>
        <w:outlineLvl w:val="0"/>
        <w:rPr>
          <w:bCs/>
        </w:rPr>
      </w:pPr>
      <w:r w:rsidRPr="00565F28">
        <w:rPr>
          <w:bCs/>
        </w:rPr>
        <w:t>A la fecha que se informa este rubro representa una disminución del 0.1 % respecto al total del activo no circulante.</w:t>
      </w:r>
    </w:p>
    <w:p w14:paraId="121DDC7E" w14:textId="77777777" w:rsidR="00565F28" w:rsidRPr="00565F28" w:rsidRDefault="00565F28" w:rsidP="00565F28">
      <w:pPr>
        <w:autoSpaceDE w:val="0"/>
        <w:autoSpaceDN w:val="0"/>
        <w:adjustRightInd w:val="0"/>
        <w:jc w:val="both"/>
      </w:pPr>
    </w:p>
    <w:p w14:paraId="1EA076B0" w14:textId="77777777" w:rsidR="00565F28" w:rsidRPr="00565F28" w:rsidRDefault="00565F28" w:rsidP="00565F28">
      <w:pPr>
        <w:autoSpaceDE w:val="0"/>
        <w:autoSpaceDN w:val="0"/>
        <w:adjustRightInd w:val="0"/>
        <w:jc w:val="center"/>
        <w:outlineLvl w:val="0"/>
        <w:rPr>
          <w:b/>
          <w:bCs/>
          <w:i/>
          <w:iCs w:val="0"/>
        </w:rPr>
      </w:pPr>
      <w:r w:rsidRPr="00565F28">
        <w:rPr>
          <w:noProof/>
          <w:lang w:eastAsia="es-MX"/>
        </w:rPr>
        <w:lastRenderedPageBreak/>
        <w:drawing>
          <wp:inline distT="0" distB="0" distL="0" distR="0" wp14:anchorId="3B6CEBB7" wp14:editId="5C9BB0C8">
            <wp:extent cx="4371975" cy="141922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419225"/>
                    </a:xfrm>
                    <a:prstGeom prst="rect">
                      <a:avLst/>
                    </a:prstGeom>
                    <a:noFill/>
                    <a:ln>
                      <a:noFill/>
                    </a:ln>
                  </pic:spPr>
                </pic:pic>
              </a:graphicData>
            </a:graphic>
          </wp:inline>
        </w:drawing>
      </w:r>
    </w:p>
    <w:p w14:paraId="0CF5F829" w14:textId="77777777" w:rsidR="00565F28" w:rsidRPr="00565F28" w:rsidRDefault="00565F28" w:rsidP="00565F28">
      <w:pPr>
        <w:autoSpaceDE w:val="0"/>
        <w:autoSpaceDN w:val="0"/>
        <w:adjustRightInd w:val="0"/>
        <w:jc w:val="both"/>
        <w:outlineLvl w:val="0"/>
        <w:rPr>
          <w:b/>
          <w:bCs/>
          <w:i/>
        </w:rPr>
      </w:pPr>
    </w:p>
    <w:p w14:paraId="533DF58A" w14:textId="77777777" w:rsidR="00565F28" w:rsidRPr="00565F28" w:rsidRDefault="00565F28" w:rsidP="00565F28">
      <w:pPr>
        <w:autoSpaceDE w:val="0"/>
        <w:autoSpaceDN w:val="0"/>
        <w:adjustRightInd w:val="0"/>
        <w:jc w:val="both"/>
        <w:rPr>
          <w:b/>
          <w:bCs/>
          <w:i/>
        </w:rPr>
      </w:pPr>
      <w:r w:rsidRPr="00565F28">
        <w:rPr>
          <w:b/>
          <w:bCs/>
          <w:i/>
        </w:rPr>
        <w:t>Activos diferidos</w:t>
      </w:r>
    </w:p>
    <w:p w14:paraId="0B019543" w14:textId="77777777" w:rsidR="00565F28" w:rsidRPr="00565F28" w:rsidRDefault="00565F28" w:rsidP="00565F28">
      <w:pPr>
        <w:jc w:val="both"/>
        <w:outlineLvl w:val="0"/>
        <w:rPr>
          <w:b/>
          <w:bCs/>
        </w:rPr>
      </w:pPr>
    </w:p>
    <w:p w14:paraId="56C7F4EB" w14:textId="77777777" w:rsidR="00565F28" w:rsidRPr="00565F28" w:rsidRDefault="00565F28" w:rsidP="00565F28">
      <w:pPr>
        <w:jc w:val="both"/>
        <w:rPr>
          <w:rFonts w:eastAsia="Arial"/>
        </w:rPr>
      </w:pPr>
      <w:r w:rsidRPr="00565F28">
        <w:rPr>
          <w:rFonts w:eastAsia="Arial"/>
        </w:rPr>
        <w:t xml:space="preserve">El saldo de este rubro asciende a 4 mil 229.1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565F28">
        <w:t xml:space="preserve">al 31 de diciembre </w:t>
      </w:r>
      <w:r w:rsidRPr="00565F28">
        <w:rPr>
          <w:rFonts w:eastAsia="Arial"/>
        </w:rPr>
        <w:t>de 2022, de los cuales 2 mil 622.2 millones de pesos corresponde a ejercicios anteriores que incluye los registros de anticipos de ministraciones y 79.6 millones de pesos del periodo que se informa.</w:t>
      </w:r>
    </w:p>
    <w:p w14:paraId="500BC372" w14:textId="77777777" w:rsidR="00565F28" w:rsidRPr="00565F28" w:rsidRDefault="00565F28" w:rsidP="00565F28">
      <w:pPr>
        <w:jc w:val="both"/>
        <w:rPr>
          <w:rFonts w:eastAsia="Arial"/>
        </w:rPr>
      </w:pPr>
    </w:p>
    <w:p w14:paraId="6E55D1B7" w14:textId="77777777" w:rsidR="00565F28" w:rsidRPr="00565F28" w:rsidRDefault="00565F28" w:rsidP="00565F28">
      <w:pPr>
        <w:jc w:val="both"/>
        <w:rPr>
          <w:rFonts w:eastAsia="Arial"/>
          <w:color w:val="FF0000"/>
        </w:rPr>
      </w:pPr>
      <w:r w:rsidRPr="00565F28">
        <w:rPr>
          <w:rFonts w:eastAsia="Arial"/>
        </w:rPr>
        <w:t>También, dentro de este rubro se incluye los anticipos otorgados a proveedores por adquisición de bienes y prestación de servicios, y por los anticipos a contratistas por obras públicas a largo plazo, por 1 mil 356.1 millones de pesos.</w:t>
      </w:r>
    </w:p>
    <w:p w14:paraId="6D5B497F" w14:textId="77777777" w:rsidR="00565F28" w:rsidRPr="00565F28" w:rsidRDefault="00565F28" w:rsidP="00565F28">
      <w:pPr>
        <w:jc w:val="both"/>
      </w:pPr>
    </w:p>
    <w:p w14:paraId="621F7C41" w14:textId="77777777" w:rsidR="00565F28" w:rsidRPr="00565F28" w:rsidRDefault="00565F28" w:rsidP="00565F28">
      <w:pPr>
        <w:autoSpaceDE w:val="0"/>
        <w:autoSpaceDN w:val="0"/>
        <w:adjustRightInd w:val="0"/>
        <w:jc w:val="both"/>
      </w:pPr>
      <w:r w:rsidRPr="00565F28">
        <w:t>A la fecha que se informa este rubro representa el 7.7 % respecto al total del activo no circulante.</w:t>
      </w:r>
    </w:p>
    <w:p w14:paraId="6CEEB1D6" w14:textId="77777777" w:rsidR="00565F28" w:rsidRPr="00565F28" w:rsidRDefault="00565F28" w:rsidP="00565F28">
      <w:pPr>
        <w:autoSpaceDE w:val="0"/>
        <w:autoSpaceDN w:val="0"/>
        <w:adjustRightInd w:val="0"/>
        <w:jc w:val="both"/>
      </w:pPr>
    </w:p>
    <w:p w14:paraId="1C2951FC" w14:textId="77777777" w:rsidR="00565F28" w:rsidRPr="00565F28" w:rsidRDefault="00565F28" w:rsidP="00565F28">
      <w:pPr>
        <w:jc w:val="center"/>
      </w:pPr>
      <w:r w:rsidRPr="00565F28">
        <w:rPr>
          <w:noProof/>
          <w:lang w:eastAsia="es-MX"/>
        </w:rPr>
        <w:drawing>
          <wp:inline distT="0" distB="0" distL="0" distR="0" wp14:anchorId="5BD9D8AC" wp14:editId="4F5A2D87">
            <wp:extent cx="4371975" cy="147637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783AF21B" w14:textId="77777777" w:rsidR="00565F28" w:rsidRPr="00565F28" w:rsidRDefault="00565F28" w:rsidP="00565F28">
      <w:pPr>
        <w:jc w:val="center"/>
      </w:pPr>
    </w:p>
    <w:p w14:paraId="0866F38B" w14:textId="77777777" w:rsidR="00565F28" w:rsidRPr="00565F28" w:rsidRDefault="00565F28" w:rsidP="00565F28">
      <w:pPr>
        <w:autoSpaceDE w:val="0"/>
        <w:autoSpaceDN w:val="0"/>
        <w:adjustRightInd w:val="0"/>
        <w:outlineLvl w:val="0"/>
        <w:rPr>
          <w:b/>
          <w:bCs/>
          <w:i/>
        </w:rPr>
      </w:pPr>
    </w:p>
    <w:p w14:paraId="7099C72D" w14:textId="77777777" w:rsidR="00565F28" w:rsidRPr="00565F28" w:rsidRDefault="00565F28" w:rsidP="00565F28">
      <w:pPr>
        <w:autoSpaceDE w:val="0"/>
        <w:autoSpaceDN w:val="0"/>
        <w:adjustRightInd w:val="0"/>
        <w:jc w:val="both"/>
        <w:rPr>
          <w:b/>
          <w:bCs/>
          <w:i/>
          <w:iCs w:val="0"/>
        </w:rPr>
      </w:pPr>
      <w:r w:rsidRPr="00565F28">
        <w:rPr>
          <w:b/>
          <w:bCs/>
          <w:i/>
        </w:rPr>
        <w:t>Otros activos no circulantes</w:t>
      </w:r>
    </w:p>
    <w:p w14:paraId="567B0594" w14:textId="77777777" w:rsidR="00565F28" w:rsidRPr="00565F28" w:rsidRDefault="00565F28" w:rsidP="00565F28">
      <w:pPr>
        <w:autoSpaceDE w:val="0"/>
        <w:autoSpaceDN w:val="0"/>
        <w:adjustRightInd w:val="0"/>
      </w:pPr>
    </w:p>
    <w:p w14:paraId="4891DEE6" w14:textId="77777777" w:rsidR="00565F28" w:rsidRPr="00565F28" w:rsidRDefault="00565F28" w:rsidP="00565F28">
      <w:pPr>
        <w:autoSpaceDE w:val="0"/>
        <w:autoSpaceDN w:val="0"/>
        <w:adjustRightInd w:val="0"/>
        <w:jc w:val="both"/>
      </w:pPr>
      <w:r w:rsidRPr="00565F28">
        <w:t>El rubro de otros activos no circulantes, refleja el valor de los bienes muebles e inmuebles, que se encuentran bajo contrato de comodato. Estos bienes se otorgan entre los entes públicos del Poder Ejecutivo.</w:t>
      </w:r>
    </w:p>
    <w:p w14:paraId="1F20F91F" w14:textId="77777777" w:rsidR="00565F28" w:rsidRPr="00565F28" w:rsidRDefault="00565F28" w:rsidP="00565F28">
      <w:pPr>
        <w:autoSpaceDE w:val="0"/>
        <w:autoSpaceDN w:val="0"/>
        <w:adjustRightInd w:val="0"/>
        <w:jc w:val="both"/>
        <w:rPr>
          <w:rFonts w:eastAsia="Arial"/>
        </w:rPr>
      </w:pPr>
    </w:p>
    <w:p w14:paraId="4F01CC63" w14:textId="77777777" w:rsidR="00565F28" w:rsidRPr="00565F28" w:rsidRDefault="00565F28" w:rsidP="00565F28">
      <w:pPr>
        <w:autoSpaceDE w:val="0"/>
        <w:autoSpaceDN w:val="0"/>
        <w:adjustRightInd w:val="0"/>
        <w:jc w:val="both"/>
      </w:pPr>
      <w:r w:rsidRPr="00565F28">
        <w:t>Al 31 de diciembre de 2022, el saldo de este rubro asciende a 77.6 millones de pesos y representa el 0.1 % respecto al total del activo no circulante.</w:t>
      </w:r>
    </w:p>
    <w:p w14:paraId="130ADFAA" w14:textId="77777777" w:rsidR="00565F28" w:rsidRPr="00565F28" w:rsidRDefault="00565F28" w:rsidP="00565F28">
      <w:pPr>
        <w:autoSpaceDE w:val="0"/>
        <w:autoSpaceDN w:val="0"/>
        <w:adjustRightInd w:val="0"/>
        <w:jc w:val="both"/>
      </w:pPr>
    </w:p>
    <w:p w14:paraId="23332D3D" w14:textId="77777777" w:rsidR="00565F28" w:rsidRPr="00565F28" w:rsidRDefault="00565F28" w:rsidP="00565F28">
      <w:pPr>
        <w:autoSpaceDE w:val="0"/>
        <w:autoSpaceDN w:val="0"/>
        <w:adjustRightInd w:val="0"/>
        <w:jc w:val="center"/>
      </w:pPr>
      <w:r w:rsidRPr="00565F28">
        <w:rPr>
          <w:noProof/>
          <w:lang w:eastAsia="es-MX"/>
        </w:rPr>
        <w:drawing>
          <wp:inline distT="0" distB="0" distL="0" distR="0" wp14:anchorId="51917539" wp14:editId="544AFC19">
            <wp:extent cx="4371975" cy="96202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7D5B44A3" w14:textId="77777777" w:rsidR="00565F28" w:rsidRPr="00565F28" w:rsidRDefault="00565F28" w:rsidP="00565F28">
      <w:pPr>
        <w:autoSpaceDE w:val="0"/>
        <w:autoSpaceDN w:val="0"/>
        <w:adjustRightInd w:val="0"/>
        <w:jc w:val="both"/>
      </w:pPr>
    </w:p>
    <w:p w14:paraId="31652C5C" w14:textId="77777777" w:rsidR="00565F28" w:rsidRPr="00565F28" w:rsidRDefault="00565F28" w:rsidP="00565F28">
      <w:pPr>
        <w:autoSpaceDE w:val="0"/>
        <w:autoSpaceDN w:val="0"/>
        <w:adjustRightInd w:val="0"/>
        <w:jc w:val="both"/>
      </w:pPr>
    </w:p>
    <w:p w14:paraId="116384BD" w14:textId="77777777" w:rsidR="00565F28" w:rsidRPr="00565F28" w:rsidRDefault="00565F28" w:rsidP="00565F28">
      <w:pPr>
        <w:autoSpaceDE w:val="0"/>
        <w:autoSpaceDN w:val="0"/>
        <w:adjustRightInd w:val="0"/>
        <w:jc w:val="both"/>
      </w:pPr>
    </w:p>
    <w:p w14:paraId="31E80CCB" w14:textId="77777777" w:rsidR="00565F28" w:rsidRPr="00565F28" w:rsidRDefault="00565F28" w:rsidP="00565F28">
      <w:pPr>
        <w:autoSpaceDE w:val="0"/>
        <w:autoSpaceDN w:val="0"/>
        <w:adjustRightInd w:val="0"/>
        <w:jc w:val="both"/>
        <w:rPr>
          <w:b/>
          <w:bCs/>
          <w:u w:val="single"/>
        </w:rPr>
      </w:pPr>
      <w:r w:rsidRPr="00565F28">
        <w:rPr>
          <w:b/>
          <w:bCs/>
          <w:u w:val="single"/>
        </w:rPr>
        <w:t>Pasivo</w:t>
      </w:r>
    </w:p>
    <w:p w14:paraId="2E3FA230" w14:textId="77777777" w:rsidR="00565F28" w:rsidRPr="00565F28" w:rsidRDefault="00565F28" w:rsidP="00565F28">
      <w:pPr>
        <w:autoSpaceDE w:val="0"/>
        <w:autoSpaceDN w:val="0"/>
        <w:adjustRightInd w:val="0"/>
        <w:jc w:val="both"/>
        <w:rPr>
          <w:b/>
          <w:bCs/>
        </w:rPr>
      </w:pPr>
    </w:p>
    <w:p w14:paraId="5A3DC821" w14:textId="77777777" w:rsidR="00565F28" w:rsidRPr="00565F28" w:rsidRDefault="00565F28" w:rsidP="00565F28">
      <w:pPr>
        <w:spacing w:line="259" w:lineRule="auto"/>
        <w:jc w:val="both"/>
      </w:pPr>
      <w:r w:rsidRPr="00565F28">
        <w:t xml:space="preserve">Es el conjunto de cuentas que permite el registro de las obligaciones contraídas por el Poder Ejecutivo, para el desarrollo de sus funciones y la prestación de los servicios públicos. Al 31 de diciembre de 2022, los estados financieros reflejan principalmente pasivo circulante o corto plazo, es decir, aquellas obligaciones en que la exigibilidad de pago es menor </w:t>
      </w:r>
      <w:r w:rsidRPr="00565F28">
        <w:lastRenderedPageBreak/>
        <w:t>a un año, así también, pasivo no circulante o a largo plazo que representa las obligaciones con vencimiento posterior a un año.</w:t>
      </w:r>
    </w:p>
    <w:p w14:paraId="0F3378C7" w14:textId="77777777" w:rsidR="00565F28" w:rsidRPr="00565F28" w:rsidRDefault="00565F28" w:rsidP="00565F28">
      <w:pPr>
        <w:spacing w:after="160" w:line="259" w:lineRule="auto"/>
        <w:rPr>
          <w:b/>
          <w:bCs/>
        </w:rPr>
      </w:pPr>
    </w:p>
    <w:p w14:paraId="44AD1527" w14:textId="77777777" w:rsidR="00565F28" w:rsidRPr="00565F28" w:rsidRDefault="00565F28" w:rsidP="00565F28">
      <w:pPr>
        <w:autoSpaceDE w:val="0"/>
        <w:autoSpaceDN w:val="0"/>
        <w:adjustRightInd w:val="0"/>
        <w:rPr>
          <w:b/>
          <w:bCs/>
        </w:rPr>
      </w:pPr>
      <w:r w:rsidRPr="00565F28">
        <w:rPr>
          <w:b/>
          <w:bCs/>
        </w:rPr>
        <mc:AlternateContent>
          <mc:Choice Requires="wps">
            <w:drawing>
              <wp:anchor distT="0" distB="0" distL="114300" distR="114300" simplePos="0" relativeHeight="251659264" behindDoc="0" locked="0" layoutInCell="1" allowOverlap="1" wp14:anchorId="5BB6369A" wp14:editId="7859A4E2">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6BCF4" w14:textId="77777777" w:rsidR="00565F28" w:rsidRPr="00A53552" w:rsidRDefault="00565F28" w:rsidP="00565F2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6369A" id="_x0000_t202" coordsize="21600,21600" o:spt="202" path="m,l,21600r21600,l21600,xe">
                <v:stroke joinstyle="miter"/>
                <v:path gradientshapeok="t" o:connecttype="rect"/>
              </v:shapetype>
              <v:shape id="Cuadro de texto 58"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14:paraId="4936BCF4" w14:textId="77777777" w:rsidR="00565F28" w:rsidRPr="00A53552" w:rsidRDefault="00565F28" w:rsidP="00565F28">
                      <w:pPr>
                        <w:rPr>
                          <w:color w:val="FF0000"/>
                          <w:sz w:val="16"/>
                          <w:szCs w:val="16"/>
                        </w:rPr>
                      </w:pPr>
                      <w:r w:rsidRPr="00A53552">
                        <w:rPr>
                          <w:color w:val="FF0000"/>
                          <w:sz w:val="16"/>
                          <w:szCs w:val="16"/>
                        </w:rPr>
                        <w:t>Pendiente gráfica</w:t>
                      </w:r>
                    </w:p>
                  </w:txbxContent>
                </v:textbox>
              </v:shape>
            </w:pict>
          </mc:Fallback>
        </mc:AlternateContent>
      </w:r>
      <w:r w:rsidRPr="00565F28">
        <w:rPr>
          <w:b/>
          <w:bCs/>
        </w:rPr>
        <w:t>Circulante</w:t>
      </w:r>
    </w:p>
    <w:p w14:paraId="3F114F1C" w14:textId="77777777" w:rsidR="00565F28" w:rsidRPr="00565F28" w:rsidRDefault="00565F28" w:rsidP="00565F28">
      <w:pPr>
        <w:pBdr>
          <w:top w:val="single" w:sz="4" w:space="1" w:color="C0C0C0"/>
        </w:pBdr>
        <w:autoSpaceDE w:val="0"/>
        <w:autoSpaceDN w:val="0"/>
        <w:adjustRightInd w:val="0"/>
        <w:jc w:val="both"/>
        <w:rPr>
          <w:noProof/>
          <w:lang w:eastAsia="es-MX"/>
        </w:rPr>
      </w:pPr>
    </w:p>
    <w:p w14:paraId="1614CC20" w14:textId="3FD7E3EF" w:rsidR="00565F28" w:rsidRPr="00565F28" w:rsidRDefault="00565F28" w:rsidP="00565F28">
      <w:pPr>
        <w:autoSpaceDE w:val="0"/>
        <w:autoSpaceDN w:val="0"/>
        <w:adjustRightInd w:val="0"/>
        <w:jc w:val="center"/>
        <w:rPr>
          <w:b/>
          <w:bCs/>
          <w:i/>
        </w:rPr>
      </w:pPr>
      <w:r>
        <w:rPr>
          <w:b/>
          <w:bCs/>
          <w:i/>
          <w:noProof/>
        </w:rPr>
        <w:drawing>
          <wp:inline distT="0" distB="0" distL="0" distR="0" wp14:anchorId="485692FC" wp14:editId="7AE860D6">
            <wp:extent cx="3383280" cy="346265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3280" cy="3462655"/>
                    </a:xfrm>
                    <a:prstGeom prst="rect">
                      <a:avLst/>
                    </a:prstGeom>
                    <a:noFill/>
                  </pic:spPr>
                </pic:pic>
              </a:graphicData>
            </a:graphic>
          </wp:inline>
        </w:drawing>
      </w:r>
    </w:p>
    <w:p w14:paraId="36E7B121" w14:textId="77777777" w:rsidR="00565F28" w:rsidRPr="00565F28" w:rsidRDefault="00565F28" w:rsidP="00565F28">
      <w:pPr>
        <w:autoSpaceDE w:val="0"/>
        <w:autoSpaceDN w:val="0"/>
        <w:adjustRightInd w:val="0"/>
        <w:jc w:val="both"/>
        <w:rPr>
          <w:b/>
          <w:bCs/>
          <w:i/>
        </w:rPr>
      </w:pPr>
    </w:p>
    <w:p w14:paraId="71832018" w14:textId="77777777" w:rsidR="00565F28" w:rsidRPr="00565F28" w:rsidRDefault="00565F28" w:rsidP="00565F28">
      <w:pPr>
        <w:jc w:val="both"/>
        <w:outlineLvl w:val="0"/>
        <w:rPr>
          <w:b/>
          <w:bCs/>
          <w:i/>
          <w:iCs w:val="0"/>
        </w:rPr>
      </w:pPr>
      <w:r w:rsidRPr="00565F28">
        <w:rPr>
          <w:b/>
          <w:bCs/>
          <w:i/>
        </w:rPr>
        <w:t>Cuentas por pagar a corto plazo</w:t>
      </w:r>
    </w:p>
    <w:p w14:paraId="4E732224" w14:textId="77777777" w:rsidR="00565F28" w:rsidRPr="00565F28" w:rsidRDefault="00565F28" w:rsidP="00565F28"/>
    <w:p w14:paraId="31F1AECC" w14:textId="77777777" w:rsidR="00565F28" w:rsidRPr="00565F28" w:rsidRDefault="00565F28" w:rsidP="00565F28">
      <w:pPr>
        <w:jc w:val="both"/>
        <w:outlineLvl w:val="0"/>
      </w:pPr>
      <w:r w:rsidRPr="00565F28">
        <w:t>Este rubro del pasivo, refleja el registro de prestaciones salariales del personal de burocracia y magisterio del Poder Ejecutivo como son: sueldos, bono de productividad, honorarios y aguinaldo devengado no pagado a la fecha que se informa, las aportaciones patronales al IMSS, ISSTECH, INFONAVIT, FPSSTSP, SAR, 2 %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1FCB9B48" w14:textId="77777777" w:rsidR="00565F28" w:rsidRPr="00565F28" w:rsidRDefault="00565F28" w:rsidP="00565F28">
      <w:pPr>
        <w:jc w:val="both"/>
        <w:outlineLvl w:val="0"/>
      </w:pPr>
    </w:p>
    <w:p w14:paraId="6110E475" w14:textId="77777777" w:rsidR="00565F28" w:rsidRPr="00565F28" w:rsidRDefault="00565F28" w:rsidP="00565F28">
      <w:pPr>
        <w:jc w:val="both"/>
        <w:outlineLvl w:val="0"/>
      </w:pPr>
      <w:r w:rsidRPr="00565F28">
        <w:t>También, forma parte las ministraciones por depositar a los municipios por concepto de participaciones, las transferencias por depositar de ayudas sociales para: personas, instituciones de enseñanza; becas para programas de capacitación; además, por los recursos transferidos a fideicomisos y los subsidios para entes públicos.</w:t>
      </w:r>
    </w:p>
    <w:p w14:paraId="60194B65" w14:textId="77777777" w:rsidR="00565F28" w:rsidRPr="00565F28" w:rsidRDefault="00565F28" w:rsidP="00565F28">
      <w:pPr>
        <w:jc w:val="both"/>
        <w:outlineLvl w:val="0"/>
      </w:pPr>
    </w:p>
    <w:p w14:paraId="456E5B4D" w14:textId="77777777" w:rsidR="00565F28" w:rsidRPr="00565F28" w:rsidRDefault="00565F28" w:rsidP="00565F28">
      <w:pPr>
        <w:autoSpaceDE w:val="0"/>
        <w:autoSpaceDN w:val="0"/>
        <w:adjustRightInd w:val="0"/>
        <w:jc w:val="both"/>
      </w:pPr>
      <w:r w:rsidRPr="00565F28">
        <w:t>Se incluyen en este rubro, el registro de las retenciones por servicios personales: ISSS, cuota FPSSTSP, cuota IMSS, crédito INFONAVIT, cuota ISSSTE, cuota ISSTECH, cuota FOVISSSTE, recuperación de préstamos personales, préstamos con instituciones financieras, aportaciones al seguro institucional, aportaciones al fondo de ahorro, cuota sindical, pensión alimenticia; además, de las retenciones y contribuciones a favor de terceros, 2 % del Impuesto Sobre Nóminas de prestadores de servicios, así como, el ISR por honorarios y/o arrendamiento de inmuebles y por lista de raya.</w:t>
      </w:r>
    </w:p>
    <w:p w14:paraId="35B16B3F" w14:textId="77777777" w:rsidR="00565F28" w:rsidRPr="00565F28" w:rsidRDefault="00565F28" w:rsidP="00565F28">
      <w:pPr>
        <w:autoSpaceDE w:val="0"/>
        <w:autoSpaceDN w:val="0"/>
        <w:adjustRightInd w:val="0"/>
        <w:jc w:val="both"/>
      </w:pPr>
    </w:p>
    <w:p w14:paraId="726C144B" w14:textId="77777777" w:rsidR="00565F28" w:rsidRPr="00565F28" w:rsidRDefault="00565F28" w:rsidP="00565F28">
      <w:pPr>
        <w:jc w:val="both"/>
        <w:outlineLvl w:val="0"/>
      </w:pPr>
      <w:r w:rsidRPr="00565F28">
        <w:t>Asimismo, incluye las retenciones efectuadas a los contratistas por obra pública, por los siguientes conceptos:</w:t>
      </w:r>
    </w:p>
    <w:p w14:paraId="37537B3B" w14:textId="77777777" w:rsidR="00565F28" w:rsidRPr="00565F28" w:rsidRDefault="00565F28" w:rsidP="00565F28">
      <w:pPr>
        <w:jc w:val="both"/>
        <w:outlineLvl w:val="0"/>
      </w:pPr>
    </w:p>
    <w:p w14:paraId="18AB5530" w14:textId="77777777" w:rsidR="00565F28" w:rsidRPr="00565F28" w:rsidRDefault="00565F28" w:rsidP="00565F28">
      <w:pPr>
        <w:numPr>
          <w:ilvl w:val="0"/>
          <w:numId w:val="1"/>
        </w:numPr>
        <w:tabs>
          <w:tab w:val="clear" w:pos="720"/>
        </w:tabs>
        <w:spacing w:after="120"/>
        <w:ind w:left="357" w:hanging="357"/>
        <w:jc w:val="both"/>
      </w:pPr>
      <w:r w:rsidRPr="00565F28">
        <w:t>1 % de Aportación al Estado para Obras de Beneficio Social,</w:t>
      </w:r>
    </w:p>
    <w:p w14:paraId="7FEFC23D" w14:textId="77777777" w:rsidR="00565F28" w:rsidRPr="00565F28" w:rsidRDefault="00565F28" w:rsidP="00565F28">
      <w:pPr>
        <w:numPr>
          <w:ilvl w:val="0"/>
          <w:numId w:val="1"/>
        </w:numPr>
        <w:tabs>
          <w:tab w:val="clear" w:pos="720"/>
        </w:tabs>
        <w:spacing w:after="120"/>
        <w:ind w:left="357" w:hanging="357"/>
        <w:jc w:val="both"/>
      </w:pPr>
      <w:r w:rsidRPr="00565F28">
        <w:t>2 al millar para el Instituto de Capacitación de la Industria de la Construcción, y</w:t>
      </w:r>
    </w:p>
    <w:p w14:paraId="2BFB9A05" w14:textId="77777777" w:rsidR="00565F28" w:rsidRPr="00565F28" w:rsidRDefault="00565F28" w:rsidP="00565F28">
      <w:pPr>
        <w:numPr>
          <w:ilvl w:val="0"/>
          <w:numId w:val="1"/>
        </w:numPr>
        <w:tabs>
          <w:tab w:val="clear" w:pos="720"/>
        </w:tabs>
        <w:spacing w:after="120"/>
        <w:ind w:left="357" w:hanging="357"/>
        <w:jc w:val="both"/>
      </w:pPr>
      <w:r w:rsidRPr="00565F28">
        <w:t>5 al millar de Inspección y Vigilancia.</w:t>
      </w:r>
    </w:p>
    <w:p w14:paraId="6E506F08" w14:textId="77777777" w:rsidR="00565F28" w:rsidRPr="00565F28" w:rsidRDefault="00565F28" w:rsidP="00565F28">
      <w:pPr>
        <w:jc w:val="both"/>
      </w:pPr>
    </w:p>
    <w:p w14:paraId="1EC06F1C" w14:textId="77777777" w:rsidR="00565F28" w:rsidRPr="00565F28" w:rsidRDefault="00565F28" w:rsidP="00565F28">
      <w:pPr>
        <w:autoSpaceDE w:val="0"/>
        <w:autoSpaceDN w:val="0"/>
        <w:adjustRightInd w:val="0"/>
        <w:jc w:val="both"/>
      </w:pPr>
      <w:r w:rsidRPr="00565F28">
        <w:lastRenderedPageBreak/>
        <w:t>Por otra parte, dentro este rubro se encuentra los anticipos a cuenta de participaciones fiscales federales pendientes de compensar, así como, los recursos comprometidos por adeudos de gastos de administración, servicios básicos y de operación, reintegros de recursos por servicios personales y gastos de operación, aportaciones al seguro de vida, depósitos en demasía de centros recaudatorios y de contribuyentes, viáticos, devolución de recursos de programas sociales y rendimientos bancarios.</w:t>
      </w:r>
    </w:p>
    <w:p w14:paraId="5773398C" w14:textId="77777777" w:rsidR="00565F28" w:rsidRPr="00565F28" w:rsidRDefault="00565F28" w:rsidP="00565F28">
      <w:pPr>
        <w:autoSpaceDE w:val="0"/>
        <w:autoSpaceDN w:val="0"/>
        <w:adjustRightInd w:val="0"/>
        <w:jc w:val="both"/>
      </w:pPr>
    </w:p>
    <w:p w14:paraId="7A73886C" w14:textId="77777777" w:rsidR="00565F28" w:rsidRPr="00565F28" w:rsidRDefault="00565F28" w:rsidP="00565F28">
      <w:pPr>
        <w:jc w:val="both"/>
      </w:pPr>
      <w:r w:rsidRPr="00565F28">
        <w:t>El saldo de este rubro al 31 de diciembre de 2022 ascendió a 1 mil 172.8 millones de pesos, y representa el 94.9 % del total del pasivo circulante.</w:t>
      </w:r>
    </w:p>
    <w:p w14:paraId="3D458BE6" w14:textId="77777777" w:rsidR="00565F28" w:rsidRPr="00565F28" w:rsidRDefault="00565F28" w:rsidP="00565F28">
      <w:pPr>
        <w:jc w:val="both"/>
      </w:pPr>
    </w:p>
    <w:p w14:paraId="3014C95A" w14:textId="77777777" w:rsidR="00565F28" w:rsidRPr="00565F28" w:rsidRDefault="00565F28" w:rsidP="00565F28">
      <w:pPr>
        <w:jc w:val="center"/>
        <w:outlineLvl w:val="0"/>
      </w:pPr>
      <w:r w:rsidRPr="00565F28">
        <w:rPr>
          <w:noProof/>
          <w:lang w:eastAsia="es-MX"/>
        </w:rPr>
        <w:drawing>
          <wp:inline distT="0" distB="0" distL="0" distR="0" wp14:anchorId="18ACD253" wp14:editId="390D8B4D">
            <wp:extent cx="4371975" cy="27717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771775"/>
                    </a:xfrm>
                    <a:prstGeom prst="rect">
                      <a:avLst/>
                    </a:prstGeom>
                    <a:noFill/>
                    <a:ln>
                      <a:noFill/>
                    </a:ln>
                  </pic:spPr>
                </pic:pic>
              </a:graphicData>
            </a:graphic>
          </wp:inline>
        </w:drawing>
      </w:r>
    </w:p>
    <w:p w14:paraId="287D5086" w14:textId="77777777" w:rsidR="00565F28" w:rsidRPr="00565F28" w:rsidRDefault="00565F28" w:rsidP="00565F28">
      <w:pPr>
        <w:jc w:val="both"/>
        <w:outlineLvl w:val="0"/>
      </w:pPr>
    </w:p>
    <w:p w14:paraId="6A86DB73" w14:textId="77777777" w:rsidR="00565F28" w:rsidRPr="00565F28" w:rsidRDefault="00565F28" w:rsidP="00565F28">
      <w:pPr>
        <w:jc w:val="both"/>
        <w:outlineLvl w:val="0"/>
      </w:pPr>
    </w:p>
    <w:p w14:paraId="529DC283" w14:textId="77777777" w:rsidR="00565F28" w:rsidRPr="00565F28" w:rsidRDefault="00565F28" w:rsidP="00565F28">
      <w:pPr>
        <w:jc w:val="both"/>
        <w:outlineLvl w:val="0"/>
        <w:rPr>
          <w:b/>
          <w:bCs/>
          <w:i/>
        </w:rPr>
      </w:pPr>
      <w:r w:rsidRPr="00565F28">
        <w:rPr>
          <w:b/>
          <w:bCs/>
          <w:i/>
        </w:rPr>
        <w:t>Fondos y bienes de terceros en garantía y/o administración a corto plazo</w:t>
      </w:r>
    </w:p>
    <w:p w14:paraId="093BFF79" w14:textId="77777777" w:rsidR="00565F28" w:rsidRPr="00565F28" w:rsidRDefault="00565F28" w:rsidP="00565F28">
      <w:pPr>
        <w:jc w:val="both"/>
        <w:outlineLvl w:val="0"/>
      </w:pPr>
    </w:p>
    <w:p w14:paraId="5DC47D4D" w14:textId="77777777" w:rsidR="00565F28" w:rsidRPr="00565F28" w:rsidRDefault="00565F28" w:rsidP="00565F28">
      <w:pPr>
        <w:jc w:val="both"/>
        <w:rPr>
          <w:rFonts w:eastAsia="Arial"/>
        </w:rPr>
      </w:pPr>
      <w:r w:rsidRPr="00565F28">
        <w:rPr>
          <w:rFonts w:eastAsia="Arial"/>
        </w:rPr>
        <w:t>El saldo en este rubro asciende a 12.1 millones de pesos y corresponde a los fondos registrados en el pasivo circulante, son los siguientes: fondo de caja de ahorro del personal de burocracia, así como, las obligaciones con recursos ajenos.</w:t>
      </w:r>
    </w:p>
    <w:p w14:paraId="5607E397" w14:textId="77777777" w:rsidR="00565F28" w:rsidRPr="00565F28" w:rsidRDefault="00565F28" w:rsidP="00565F28">
      <w:pPr>
        <w:jc w:val="both"/>
        <w:rPr>
          <w:rFonts w:eastAsia="Arial"/>
        </w:rPr>
      </w:pPr>
    </w:p>
    <w:p w14:paraId="07B2F1EC" w14:textId="77777777" w:rsidR="00565F28" w:rsidRPr="00565F28" w:rsidRDefault="00565F28" w:rsidP="00565F28">
      <w:pPr>
        <w:jc w:val="both"/>
        <w:rPr>
          <w:rFonts w:eastAsia="Arial"/>
        </w:rPr>
      </w:pPr>
      <w:r w:rsidRPr="00565F28">
        <w:rPr>
          <w:rFonts w:eastAsia="Arial"/>
        </w:rPr>
        <w:t>También, se incluyen los ingresos derivados de la recaudación de impuestos municipales administrados por el Poder Ejecutivo, por concepto de impuestos a la propiedad inmobiliaria (predial, traslación de dominio y accesorios).</w:t>
      </w:r>
    </w:p>
    <w:p w14:paraId="76F7AAF2" w14:textId="77777777" w:rsidR="00565F28" w:rsidRPr="00565F28" w:rsidRDefault="00565F28" w:rsidP="00565F28">
      <w:pPr>
        <w:jc w:val="both"/>
        <w:rPr>
          <w:rFonts w:eastAsia="Arial"/>
        </w:rPr>
      </w:pPr>
    </w:p>
    <w:p w14:paraId="1665F94E" w14:textId="77777777" w:rsidR="00565F28" w:rsidRPr="00565F28" w:rsidRDefault="00565F28" w:rsidP="00565F28">
      <w:pPr>
        <w:jc w:val="both"/>
        <w:outlineLvl w:val="0"/>
      </w:pPr>
      <w:r w:rsidRPr="00565F28">
        <w:t>Al 31 de diciembre de 2022, este rubro representa el 1 % respecto al total del pasivo circulante.</w:t>
      </w:r>
    </w:p>
    <w:p w14:paraId="6119F4AF" w14:textId="77777777" w:rsidR="00565F28" w:rsidRPr="00565F28" w:rsidRDefault="00565F28" w:rsidP="00565F28">
      <w:pPr>
        <w:jc w:val="both"/>
        <w:outlineLvl w:val="0"/>
      </w:pPr>
    </w:p>
    <w:p w14:paraId="3BCCC520" w14:textId="77777777" w:rsidR="00565F28" w:rsidRPr="00565F28" w:rsidRDefault="00565F28" w:rsidP="00565F28">
      <w:pPr>
        <w:jc w:val="center"/>
        <w:outlineLvl w:val="0"/>
      </w:pPr>
      <w:r w:rsidRPr="00565F28">
        <w:rPr>
          <w:noProof/>
          <w:lang w:eastAsia="es-MX"/>
        </w:rPr>
        <w:drawing>
          <wp:inline distT="0" distB="0" distL="0" distR="0" wp14:anchorId="57A5D7F2" wp14:editId="105A49FD">
            <wp:extent cx="4371975" cy="174307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743075"/>
                    </a:xfrm>
                    <a:prstGeom prst="rect">
                      <a:avLst/>
                    </a:prstGeom>
                    <a:noFill/>
                    <a:ln>
                      <a:noFill/>
                    </a:ln>
                  </pic:spPr>
                </pic:pic>
              </a:graphicData>
            </a:graphic>
          </wp:inline>
        </w:drawing>
      </w:r>
    </w:p>
    <w:p w14:paraId="39B33784" w14:textId="77777777" w:rsidR="00565F28" w:rsidRPr="00565F28" w:rsidRDefault="00565F28" w:rsidP="00565F28">
      <w:pPr>
        <w:outlineLvl w:val="0"/>
      </w:pPr>
    </w:p>
    <w:p w14:paraId="2B658318" w14:textId="77777777" w:rsidR="00565F28" w:rsidRPr="00565F28" w:rsidRDefault="00565F28" w:rsidP="00565F28">
      <w:pPr>
        <w:outlineLvl w:val="0"/>
      </w:pPr>
    </w:p>
    <w:p w14:paraId="7062F5C6" w14:textId="77777777" w:rsidR="00565F28" w:rsidRPr="00565F28" w:rsidRDefault="00565F28" w:rsidP="00565F28">
      <w:pPr>
        <w:jc w:val="both"/>
        <w:outlineLvl w:val="0"/>
        <w:rPr>
          <w:b/>
          <w:bCs/>
          <w:i/>
          <w:iCs w:val="0"/>
        </w:rPr>
      </w:pPr>
      <w:r w:rsidRPr="00565F28">
        <w:rPr>
          <w:b/>
          <w:bCs/>
          <w:i/>
        </w:rPr>
        <w:t>Provisiones a corto plazo</w:t>
      </w:r>
    </w:p>
    <w:p w14:paraId="1F7BA6C4" w14:textId="77777777" w:rsidR="00565F28" w:rsidRPr="00565F28" w:rsidRDefault="00565F28" w:rsidP="00565F28">
      <w:pPr>
        <w:jc w:val="both"/>
        <w:outlineLvl w:val="0"/>
        <w:rPr>
          <w:b/>
          <w:bCs/>
          <w:i/>
          <w:iCs w:val="0"/>
        </w:rPr>
      </w:pPr>
    </w:p>
    <w:p w14:paraId="65B96E2A" w14:textId="77777777" w:rsidR="00565F28" w:rsidRPr="00565F28" w:rsidRDefault="00565F28" w:rsidP="00565F28">
      <w:pPr>
        <w:jc w:val="both"/>
        <w:outlineLvl w:val="0"/>
      </w:pPr>
      <w:r w:rsidRPr="00565F28">
        <w:t xml:space="preserve">Al 31 de diciembre de 2022, este rubro del pasivo circulante, asciende a 42.8 millones de pesos, el cual se integra, por la provisión para demandas y juicios a corto plazo, para hacer frente a casos fortuitos, que resulten de la operatividad de los entes públicos que conforman el Poder Ejecutivo del estado de Chiapas. </w:t>
      </w:r>
    </w:p>
    <w:p w14:paraId="15C42D9B" w14:textId="77777777" w:rsidR="00565F28" w:rsidRPr="00565F28" w:rsidRDefault="00565F28" w:rsidP="00565F28">
      <w:pPr>
        <w:jc w:val="both"/>
        <w:outlineLvl w:val="0"/>
      </w:pPr>
    </w:p>
    <w:p w14:paraId="22165FD0" w14:textId="77777777" w:rsidR="00565F28" w:rsidRPr="00565F28" w:rsidRDefault="00565F28" w:rsidP="00565F28">
      <w:pPr>
        <w:autoSpaceDE w:val="0"/>
        <w:autoSpaceDN w:val="0"/>
        <w:adjustRightInd w:val="0"/>
        <w:jc w:val="both"/>
      </w:pPr>
      <w:r w:rsidRPr="00565F28">
        <w:t>Del total del pasivo circulante, este rubro representa el 3.5 %.</w:t>
      </w:r>
    </w:p>
    <w:p w14:paraId="4F66737F" w14:textId="77777777" w:rsidR="00565F28" w:rsidRPr="00565F28" w:rsidRDefault="00565F28" w:rsidP="00565F28">
      <w:pPr>
        <w:outlineLvl w:val="0"/>
        <w:rPr>
          <w:b/>
          <w:bCs/>
          <w:i/>
          <w:iCs w:val="0"/>
        </w:rPr>
      </w:pPr>
    </w:p>
    <w:p w14:paraId="2869AD2C" w14:textId="77777777" w:rsidR="00565F28" w:rsidRPr="00565F28" w:rsidRDefault="00565F28" w:rsidP="00565F28">
      <w:pPr>
        <w:jc w:val="center"/>
        <w:outlineLvl w:val="0"/>
        <w:rPr>
          <w:b/>
          <w:bCs/>
          <w:i/>
          <w:iCs w:val="0"/>
        </w:rPr>
      </w:pPr>
      <w:r w:rsidRPr="00565F28">
        <w:rPr>
          <w:noProof/>
          <w:lang w:eastAsia="es-MX"/>
        </w:rPr>
        <w:drawing>
          <wp:inline distT="0" distB="0" distL="0" distR="0" wp14:anchorId="72D5380A" wp14:editId="78D3BC42">
            <wp:extent cx="4371975" cy="10953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7925493F" w14:textId="77777777" w:rsidR="00565F28" w:rsidRPr="00565F28" w:rsidRDefault="00565F28" w:rsidP="00565F28">
      <w:pPr>
        <w:jc w:val="both"/>
        <w:outlineLvl w:val="0"/>
        <w:rPr>
          <w:b/>
          <w:bCs/>
          <w:i/>
        </w:rPr>
      </w:pPr>
    </w:p>
    <w:p w14:paraId="2677F50B" w14:textId="77777777" w:rsidR="00565F28" w:rsidRPr="00565F28" w:rsidRDefault="00565F28" w:rsidP="00565F28">
      <w:pPr>
        <w:jc w:val="both"/>
        <w:outlineLvl w:val="0"/>
        <w:rPr>
          <w:b/>
          <w:bCs/>
          <w:i/>
        </w:rPr>
      </w:pPr>
      <w:r w:rsidRPr="00565F28">
        <w:rPr>
          <w:b/>
          <w:bCs/>
          <w:i/>
        </w:rPr>
        <w:t>Otros pasivos a corto plazo</w:t>
      </w:r>
    </w:p>
    <w:p w14:paraId="630063E9" w14:textId="77777777" w:rsidR="00565F28" w:rsidRPr="00565F28" w:rsidRDefault="00565F28" w:rsidP="00565F28">
      <w:pPr>
        <w:jc w:val="both"/>
        <w:outlineLvl w:val="0"/>
      </w:pPr>
    </w:p>
    <w:p w14:paraId="2105D556" w14:textId="77777777" w:rsidR="00565F28" w:rsidRPr="00565F28" w:rsidRDefault="00565F28" w:rsidP="00565F28">
      <w:pPr>
        <w:jc w:val="both"/>
        <w:outlineLvl w:val="0"/>
        <w:rPr>
          <w:rFonts w:eastAsia="Arial"/>
        </w:rPr>
      </w:pPr>
      <w:r w:rsidRPr="00565F28">
        <w:rPr>
          <w:rFonts w:eastAsia="Arial"/>
        </w:rPr>
        <w:t xml:space="preserve">El sado en este rubro asciende a 7.9 millones de pesos y se integra principalmente de los ingresos por clasificar, así como, por los abonos bancarios pendientes de aplicar. </w:t>
      </w:r>
    </w:p>
    <w:p w14:paraId="77D60919" w14:textId="77777777" w:rsidR="00565F28" w:rsidRPr="00565F28" w:rsidRDefault="00565F28" w:rsidP="00565F28">
      <w:pPr>
        <w:jc w:val="both"/>
        <w:outlineLvl w:val="0"/>
      </w:pPr>
    </w:p>
    <w:p w14:paraId="69280183" w14:textId="77777777" w:rsidR="00565F28" w:rsidRPr="00565F28" w:rsidRDefault="00565F28" w:rsidP="00565F28">
      <w:pPr>
        <w:jc w:val="both"/>
        <w:outlineLvl w:val="0"/>
      </w:pPr>
      <w:r w:rsidRPr="00565F28">
        <w:t>Al 31 de diciembre de 2022, este rubro representa el 0.6 % del total del pasivo circulante.</w:t>
      </w:r>
    </w:p>
    <w:p w14:paraId="3ECEDB20" w14:textId="77777777" w:rsidR="00565F28" w:rsidRPr="00565F28" w:rsidRDefault="00565F28" w:rsidP="00565F28">
      <w:pPr>
        <w:autoSpaceDE w:val="0"/>
        <w:autoSpaceDN w:val="0"/>
        <w:adjustRightInd w:val="0"/>
        <w:jc w:val="both"/>
        <w:rPr>
          <w:b/>
          <w:bCs/>
        </w:rPr>
      </w:pPr>
    </w:p>
    <w:p w14:paraId="20B940FB" w14:textId="77777777" w:rsidR="00565F28" w:rsidRPr="00565F28" w:rsidRDefault="00565F28" w:rsidP="00565F28">
      <w:pPr>
        <w:jc w:val="center"/>
        <w:outlineLvl w:val="0"/>
        <w:rPr>
          <w:b/>
          <w:bCs/>
        </w:rPr>
      </w:pPr>
      <w:r w:rsidRPr="00565F28">
        <w:rPr>
          <w:noProof/>
          <w:lang w:eastAsia="es-MX"/>
        </w:rPr>
        <w:drawing>
          <wp:inline distT="0" distB="0" distL="0" distR="0" wp14:anchorId="6DEA2E14" wp14:editId="4BF6AA14">
            <wp:extent cx="4371975" cy="11525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7DFE954D" w14:textId="77777777" w:rsidR="00565F28" w:rsidRPr="00565F28" w:rsidRDefault="00565F28" w:rsidP="00565F28">
      <w:pPr>
        <w:jc w:val="both"/>
        <w:outlineLvl w:val="0"/>
      </w:pPr>
    </w:p>
    <w:p w14:paraId="2AB2AD0D" w14:textId="77777777" w:rsidR="00565F28" w:rsidRPr="00565F28" w:rsidRDefault="00565F28" w:rsidP="00565F28">
      <w:pPr>
        <w:jc w:val="both"/>
        <w:outlineLvl w:val="0"/>
      </w:pPr>
    </w:p>
    <w:p w14:paraId="45F0908C" w14:textId="20DD63A4" w:rsidR="00565F28" w:rsidRPr="00565F28" w:rsidRDefault="00565F28" w:rsidP="00565F28">
      <w:pPr>
        <w:autoSpaceDE w:val="0"/>
        <w:autoSpaceDN w:val="0"/>
        <w:adjustRightInd w:val="0"/>
        <w:jc w:val="both"/>
        <w:rPr>
          <w:b/>
          <w:bCs/>
        </w:rPr>
      </w:pPr>
      <w:r w:rsidRPr="00565F28">
        <w:rPr>
          <w:b/>
          <w:bCs/>
          <w:noProof/>
          <w:lang w:eastAsia="es-MX"/>
        </w:rPr>
        <mc:AlternateContent>
          <mc:Choice Requires="wps">
            <w:drawing>
              <wp:anchor distT="0" distB="0" distL="114300" distR="114300" simplePos="0" relativeHeight="251660288" behindDoc="0" locked="0" layoutInCell="1" allowOverlap="1" wp14:anchorId="50E7A1FF" wp14:editId="613EA095">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BB009" w14:textId="77777777" w:rsidR="00565F28" w:rsidRPr="00A53552" w:rsidRDefault="00565F28" w:rsidP="00565F2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A1FF" id="Cuadro de texto 5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RU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ZD&#10;0F2QiFfIFsQjysIA0oYM46OCkxrMV0p6bNCS2i97ZiQlzRuN0gpKwI4Oi2x2leIZc2nZXlqY5ghV&#10;UkfJOF258RXYd0btarxpFLOGW5RjpYJUnqI6ihibMOR0fDB8l1+ug9fTs7b8AQ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aPJ0VIcCAAAeBQAADgAAAAAAAAAAAAAAAAAuAgAAZHJzL2Uyb0RvYy54bWxQSwECLQAUAAYA&#10;CAAAACEAFxRGR+AAAAALAQAADwAAAAAAAAAAAAAAAADhBAAAZHJzL2Rvd25yZXYueG1sUEsFBgAA&#10;AAAEAAQA8wAAAO4FAAAAAA==&#10;" stroked="f">
                <v:textbox>
                  <w:txbxContent>
                    <w:p w14:paraId="53FBB009" w14:textId="77777777" w:rsidR="00565F28" w:rsidRPr="00A53552" w:rsidRDefault="00565F28" w:rsidP="00565F28">
                      <w:pPr>
                        <w:rPr>
                          <w:color w:val="FF0000"/>
                          <w:sz w:val="16"/>
                          <w:szCs w:val="16"/>
                        </w:rPr>
                      </w:pPr>
                      <w:r w:rsidRPr="00A53552">
                        <w:rPr>
                          <w:color w:val="FF0000"/>
                          <w:sz w:val="16"/>
                          <w:szCs w:val="16"/>
                        </w:rPr>
                        <w:t>Pendiente gráfica</w:t>
                      </w:r>
                    </w:p>
                  </w:txbxContent>
                </v:textbox>
              </v:shape>
            </w:pict>
          </mc:Fallback>
        </mc:AlternateContent>
      </w:r>
      <w:r w:rsidRPr="00565F28">
        <w:rPr>
          <w:b/>
          <w:bCs/>
          <w:noProof/>
          <w:lang w:eastAsia="es-MX"/>
        </w:rPr>
        <w:t>No</w:t>
      </w:r>
      <w:r w:rsidRPr="00565F28">
        <w:rPr>
          <w:b/>
          <w:bCs/>
        </w:rPr>
        <w:t xml:space="preserve"> Circulante</w:t>
      </w:r>
    </w:p>
    <w:p w14:paraId="38E631A9" w14:textId="77777777" w:rsidR="00565F28" w:rsidRPr="00565F28" w:rsidRDefault="00565F28" w:rsidP="00565F28">
      <w:pPr>
        <w:pBdr>
          <w:top w:val="single" w:sz="4" w:space="1" w:color="C0C0C0"/>
        </w:pBdr>
        <w:autoSpaceDE w:val="0"/>
        <w:autoSpaceDN w:val="0"/>
        <w:adjustRightInd w:val="0"/>
        <w:jc w:val="both"/>
        <w:rPr>
          <w:b/>
          <w:bCs/>
        </w:rPr>
      </w:pPr>
    </w:p>
    <w:p w14:paraId="720C0253" w14:textId="01EE8D71" w:rsidR="00565F28" w:rsidRDefault="00565F28" w:rsidP="00565F28">
      <w:pPr>
        <w:pBdr>
          <w:top w:val="single" w:sz="4" w:space="1" w:color="C0C0C0"/>
        </w:pBdr>
        <w:autoSpaceDE w:val="0"/>
        <w:autoSpaceDN w:val="0"/>
        <w:adjustRightInd w:val="0"/>
        <w:jc w:val="center"/>
        <w:rPr>
          <w:b/>
          <w:bCs/>
        </w:rPr>
      </w:pPr>
      <w:r>
        <w:rPr>
          <w:b/>
          <w:bCs/>
          <w:noProof/>
        </w:rPr>
        <w:drawing>
          <wp:inline distT="0" distB="0" distL="0" distR="0" wp14:anchorId="153DCB34" wp14:editId="3E73F799">
            <wp:extent cx="3371215" cy="37433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1215" cy="3743325"/>
                    </a:xfrm>
                    <a:prstGeom prst="rect">
                      <a:avLst/>
                    </a:prstGeom>
                    <a:noFill/>
                  </pic:spPr>
                </pic:pic>
              </a:graphicData>
            </a:graphic>
          </wp:inline>
        </w:drawing>
      </w:r>
    </w:p>
    <w:p w14:paraId="1D91AAD0" w14:textId="77777777" w:rsidR="00565F28" w:rsidRPr="00565F28" w:rsidRDefault="00565F28" w:rsidP="00565F28">
      <w:pPr>
        <w:pBdr>
          <w:top w:val="single" w:sz="4" w:space="1" w:color="C0C0C0"/>
        </w:pBdr>
        <w:autoSpaceDE w:val="0"/>
        <w:autoSpaceDN w:val="0"/>
        <w:adjustRightInd w:val="0"/>
        <w:jc w:val="both"/>
        <w:rPr>
          <w:b/>
          <w:bCs/>
        </w:rPr>
      </w:pPr>
    </w:p>
    <w:p w14:paraId="2D657D9A" w14:textId="77777777" w:rsidR="00565F28" w:rsidRDefault="00565F28">
      <w:pPr>
        <w:rPr>
          <w:b/>
          <w:bCs/>
          <w:i/>
        </w:rPr>
      </w:pPr>
      <w:r>
        <w:rPr>
          <w:b/>
          <w:bCs/>
          <w:i/>
        </w:rPr>
        <w:br w:type="page"/>
      </w:r>
    </w:p>
    <w:p w14:paraId="51C21380" w14:textId="37B4C7E5" w:rsidR="00565F28" w:rsidRPr="00565F28" w:rsidRDefault="00565F28" w:rsidP="00565F28">
      <w:pPr>
        <w:autoSpaceDE w:val="0"/>
        <w:autoSpaceDN w:val="0"/>
        <w:adjustRightInd w:val="0"/>
        <w:jc w:val="both"/>
        <w:rPr>
          <w:b/>
          <w:bCs/>
        </w:rPr>
      </w:pPr>
      <w:r w:rsidRPr="00565F28">
        <w:rPr>
          <w:b/>
          <w:bCs/>
          <w:i/>
        </w:rPr>
        <w:lastRenderedPageBreak/>
        <w:t>Cuentas por pagar a largo plazo</w:t>
      </w:r>
    </w:p>
    <w:p w14:paraId="1D72FE54" w14:textId="77777777" w:rsidR="00565F28" w:rsidRPr="00565F28" w:rsidRDefault="00565F28" w:rsidP="00565F28">
      <w:pPr>
        <w:jc w:val="both"/>
        <w:outlineLvl w:val="0"/>
        <w:rPr>
          <w:bCs/>
          <w:iCs w:val="0"/>
        </w:rPr>
      </w:pPr>
    </w:p>
    <w:p w14:paraId="5F939469" w14:textId="77777777" w:rsidR="00565F28" w:rsidRPr="00565F28" w:rsidRDefault="00565F28" w:rsidP="00565F28">
      <w:pPr>
        <w:jc w:val="both"/>
      </w:pPr>
      <w:r w:rsidRPr="00565F28">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3BB16D51" w14:textId="77777777" w:rsidR="00565F28" w:rsidRPr="00565F28" w:rsidRDefault="00565F28" w:rsidP="00565F28">
      <w:pPr>
        <w:jc w:val="both"/>
      </w:pPr>
    </w:p>
    <w:p w14:paraId="20BB88DB" w14:textId="77777777" w:rsidR="00565F28" w:rsidRPr="00565F28" w:rsidRDefault="00565F28" w:rsidP="00565F28">
      <w:pPr>
        <w:jc w:val="both"/>
        <w:outlineLvl w:val="0"/>
      </w:pPr>
      <w:r w:rsidRPr="00565F28">
        <w:t>El saldo de este rubro al 31 de diciembre de 2022 ascendió a 2 mil 35.1 millones de pesos, y representa el 11.6 % del total del pasivo no circulante.</w:t>
      </w:r>
    </w:p>
    <w:p w14:paraId="557DF786" w14:textId="77777777" w:rsidR="00565F28" w:rsidRPr="00565F28" w:rsidRDefault="00565F28" w:rsidP="00565F28">
      <w:pPr>
        <w:jc w:val="both"/>
      </w:pPr>
    </w:p>
    <w:p w14:paraId="5C8DB1D6" w14:textId="77777777" w:rsidR="00565F28" w:rsidRPr="00565F28" w:rsidRDefault="00565F28" w:rsidP="00565F28">
      <w:pPr>
        <w:jc w:val="center"/>
      </w:pPr>
      <w:r w:rsidRPr="00565F28">
        <w:rPr>
          <w:noProof/>
          <w:lang w:eastAsia="es-MX"/>
        </w:rPr>
        <w:drawing>
          <wp:inline distT="0" distB="0" distL="0" distR="0" wp14:anchorId="377F32B0" wp14:editId="25C86C65">
            <wp:extent cx="4371975" cy="128587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42EC36A2" w14:textId="77777777" w:rsidR="00565F28" w:rsidRPr="00565F28" w:rsidRDefault="00565F28" w:rsidP="00565F28">
      <w:pPr>
        <w:jc w:val="both"/>
        <w:outlineLvl w:val="0"/>
        <w:rPr>
          <w:b/>
          <w:bCs/>
          <w:i/>
          <w:iCs w:val="0"/>
        </w:rPr>
      </w:pPr>
    </w:p>
    <w:p w14:paraId="7AF8C129" w14:textId="77777777" w:rsidR="00565F28" w:rsidRPr="00565F28" w:rsidRDefault="00565F28" w:rsidP="00565F28">
      <w:pPr>
        <w:jc w:val="both"/>
        <w:outlineLvl w:val="0"/>
        <w:rPr>
          <w:b/>
          <w:bCs/>
          <w:i/>
          <w:iCs w:val="0"/>
        </w:rPr>
      </w:pPr>
    </w:p>
    <w:p w14:paraId="341739B5" w14:textId="77777777" w:rsidR="00565F28" w:rsidRPr="00565F28" w:rsidRDefault="00565F28" w:rsidP="00565F28">
      <w:pPr>
        <w:autoSpaceDE w:val="0"/>
        <w:autoSpaceDN w:val="0"/>
        <w:adjustRightInd w:val="0"/>
        <w:jc w:val="both"/>
        <w:rPr>
          <w:b/>
          <w:bCs/>
          <w:i/>
        </w:rPr>
      </w:pPr>
      <w:r w:rsidRPr="00565F28">
        <w:rPr>
          <w:b/>
          <w:bCs/>
          <w:i/>
        </w:rPr>
        <w:t>Documentos por pagar a largo plazo</w:t>
      </w:r>
    </w:p>
    <w:p w14:paraId="7A0D994F" w14:textId="77777777" w:rsidR="00565F28" w:rsidRPr="00565F28" w:rsidRDefault="00565F28" w:rsidP="00565F28">
      <w:pPr>
        <w:jc w:val="both"/>
        <w:outlineLvl w:val="0"/>
        <w:rPr>
          <w:b/>
          <w:bCs/>
          <w:i/>
          <w:iCs w:val="0"/>
        </w:rPr>
      </w:pPr>
    </w:p>
    <w:p w14:paraId="76BF739E" w14:textId="77777777" w:rsidR="00565F28" w:rsidRPr="00565F28" w:rsidRDefault="00565F28" w:rsidP="00565F28">
      <w:pPr>
        <w:jc w:val="both"/>
        <w:outlineLvl w:val="0"/>
      </w:pPr>
      <w:r w:rsidRPr="00565F28">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29C3616C" w14:textId="77777777" w:rsidR="00565F28" w:rsidRPr="00565F28" w:rsidRDefault="00565F28" w:rsidP="00565F28">
      <w:pPr>
        <w:jc w:val="both"/>
        <w:outlineLvl w:val="0"/>
      </w:pPr>
    </w:p>
    <w:p w14:paraId="477D2ACD" w14:textId="77777777" w:rsidR="00565F28" w:rsidRPr="00565F28" w:rsidRDefault="00565F28" w:rsidP="00565F28">
      <w:pPr>
        <w:jc w:val="both"/>
        <w:outlineLvl w:val="0"/>
        <w:rPr>
          <w:bCs/>
          <w:iCs w:val="0"/>
        </w:rPr>
      </w:pPr>
      <w:r w:rsidRPr="00565F28">
        <w:rPr>
          <w:bCs/>
        </w:rPr>
        <w:t xml:space="preserve">El saldo </w:t>
      </w:r>
      <w:r w:rsidRPr="00565F28">
        <w:t xml:space="preserve">al 31 de diciembre </w:t>
      </w:r>
      <w:r w:rsidRPr="00565F28">
        <w:rPr>
          <w:bCs/>
        </w:rPr>
        <w:t>de 2022 es de 0.1 millones de pesos.</w:t>
      </w:r>
    </w:p>
    <w:p w14:paraId="27DFC7A7" w14:textId="77777777" w:rsidR="00565F28" w:rsidRPr="00565F28" w:rsidRDefault="00565F28" w:rsidP="00565F28">
      <w:pPr>
        <w:jc w:val="both"/>
        <w:outlineLvl w:val="0"/>
        <w:rPr>
          <w:bCs/>
          <w:iCs w:val="0"/>
        </w:rPr>
      </w:pPr>
    </w:p>
    <w:p w14:paraId="4EFB0897" w14:textId="77777777" w:rsidR="00565F28" w:rsidRPr="00565F28" w:rsidRDefault="00565F28" w:rsidP="00565F28">
      <w:pPr>
        <w:jc w:val="center"/>
        <w:outlineLvl w:val="0"/>
      </w:pPr>
      <w:r w:rsidRPr="00565F28">
        <w:rPr>
          <w:noProof/>
          <w:lang w:eastAsia="es-MX"/>
        </w:rPr>
        <w:drawing>
          <wp:inline distT="0" distB="0" distL="0" distR="0" wp14:anchorId="14F32C18" wp14:editId="4FEF608C">
            <wp:extent cx="4371975" cy="109537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F85682B" w14:textId="77777777" w:rsidR="00565F28" w:rsidRPr="00565F28" w:rsidRDefault="00565F28" w:rsidP="00565F28">
      <w:pPr>
        <w:jc w:val="both"/>
        <w:outlineLvl w:val="0"/>
        <w:rPr>
          <w:b/>
          <w:bCs/>
          <w:i/>
        </w:rPr>
      </w:pPr>
    </w:p>
    <w:p w14:paraId="0BF9EEE6" w14:textId="77777777" w:rsidR="00565F28" w:rsidRPr="00565F28" w:rsidRDefault="00565F28" w:rsidP="00565F28">
      <w:pPr>
        <w:jc w:val="both"/>
        <w:outlineLvl w:val="0"/>
        <w:rPr>
          <w:b/>
          <w:bCs/>
          <w:i/>
        </w:rPr>
      </w:pPr>
    </w:p>
    <w:p w14:paraId="0E4EA6A7" w14:textId="77777777" w:rsidR="00565F28" w:rsidRPr="00565F28" w:rsidRDefault="00565F28" w:rsidP="00565F28">
      <w:pPr>
        <w:autoSpaceDE w:val="0"/>
        <w:autoSpaceDN w:val="0"/>
        <w:adjustRightInd w:val="0"/>
        <w:jc w:val="both"/>
        <w:rPr>
          <w:b/>
          <w:bCs/>
          <w:i/>
        </w:rPr>
      </w:pPr>
      <w:r w:rsidRPr="00565F28">
        <w:rPr>
          <w:b/>
          <w:bCs/>
          <w:i/>
        </w:rPr>
        <w:t>Deuda pública a largo plazo</w:t>
      </w:r>
    </w:p>
    <w:p w14:paraId="7A5C17E0" w14:textId="77777777" w:rsidR="00565F28" w:rsidRPr="00565F28" w:rsidRDefault="00565F28" w:rsidP="00565F28">
      <w:pPr>
        <w:jc w:val="both"/>
        <w:outlineLvl w:val="0"/>
        <w:rPr>
          <w:b/>
          <w:bCs/>
          <w:i/>
          <w:iCs w:val="0"/>
        </w:rPr>
      </w:pPr>
    </w:p>
    <w:p w14:paraId="3A0CE9F5" w14:textId="77777777" w:rsidR="00565F28" w:rsidRPr="00565F28" w:rsidRDefault="00565F28" w:rsidP="00565F28">
      <w:pPr>
        <w:jc w:val="both"/>
        <w:rPr>
          <w:rFonts w:eastAsia="Arial"/>
        </w:rPr>
      </w:pPr>
      <w:r w:rsidRPr="00565F28">
        <w:t xml:space="preserve">Al 31 de diciembre </w:t>
      </w:r>
      <w:r w:rsidRPr="00565F28">
        <w:rPr>
          <w:rFonts w:eastAsia="Arial"/>
        </w:rPr>
        <w:t xml:space="preserve">de 2022, la deuda pública a largo plazo, reportó un saldo total de 13 mil 22.6 millones pesos, dicha deuda se tiene contratada con las siguientes instituciones bancarias, BANOBRAS, S.N.C., Banco Santander, S.A., BBVA Bancomer, S.A., y Banorte, S.A. </w:t>
      </w:r>
    </w:p>
    <w:p w14:paraId="1C781FF7" w14:textId="77777777" w:rsidR="00565F28" w:rsidRPr="00565F28" w:rsidRDefault="00565F28" w:rsidP="00565F28">
      <w:pPr>
        <w:jc w:val="both"/>
        <w:rPr>
          <w:rFonts w:eastAsia="Arial"/>
        </w:rPr>
      </w:pPr>
    </w:p>
    <w:p w14:paraId="476F16E7" w14:textId="77777777" w:rsidR="00565F28" w:rsidRPr="00565F28" w:rsidRDefault="00565F28" w:rsidP="00565F28">
      <w:pPr>
        <w:jc w:val="both"/>
        <w:outlineLvl w:val="0"/>
      </w:pPr>
      <w:r w:rsidRPr="00565F28">
        <w:t>Representa el 74.3 % del total del pasivo no circulante.</w:t>
      </w:r>
    </w:p>
    <w:p w14:paraId="0BCE8366" w14:textId="77777777" w:rsidR="00565F28" w:rsidRPr="00565F28" w:rsidRDefault="00565F28" w:rsidP="00565F28">
      <w:pPr>
        <w:jc w:val="both"/>
        <w:outlineLvl w:val="0"/>
      </w:pPr>
    </w:p>
    <w:p w14:paraId="0C938D9D" w14:textId="77777777" w:rsidR="00565F28" w:rsidRPr="00565F28" w:rsidRDefault="00565F28" w:rsidP="00565F28">
      <w:pPr>
        <w:jc w:val="center"/>
      </w:pPr>
      <w:r w:rsidRPr="00565F28">
        <w:rPr>
          <w:noProof/>
          <w:lang w:eastAsia="es-MX"/>
        </w:rPr>
        <w:drawing>
          <wp:inline distT="0" distB="0" distL="0" distR="0" wp14:anchorId="2D57ADCE" wp14:editId="17B3949A">
            <wp:extent cx="4371975" cy="109537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13AC844C" w14:textId="77777777" w:rsidR="00565F28" w:rsidRPr="00565F28" w:rsidRDefault="00565F28" w:rsidP="00565F28">
      <w:pPr>
        <w:jc w:val="both"/>
        <w:rPr>
          <w:b/>
        </w:rPr>
      </w:pPr>
    </w:p>
    <w:p w14:paraId="5C5C1D4B" w14:textId="77777777" w:rsidR="00565F28" w:rsidRPr="00565F28" w:rsidRDefault="00565F28" w:rsidP="00565F28">
      <w:pPr>
        <w:jc w:val="both"/>
        <w:rPr>
          <w:b/>
        </w:rPr>
      </w:pPr>
    </w:p>
    <w:p w14:paraId="1FD46069" w14:textId="77777777" w:rsidR="00565F28" w:rsidRDefault="00565F28">
      <w:pPr>
        <w:rPr>
          <w:b/>
          <w:bCs/>
          <w:i/>
        </w:rPr>
      </w:pPr>
      <w:r>
        <w:rPr>
          <w:b/>
          <w:bCs/>
          <w:i/>
        </w:rPr>
        <w:br w:type="page"/>
      </w:r>
    </w:p>
    <w:p w14:paraId="54DC9D3D" w14:textId="29904C85" w:rsidR="00565F28" w:rsidRPr="00565F28" w:rsidRDefault="00565F28" w:rsidP="00565F28">
      <w:pPr>
        <w:autoSpaceDE w:val="0"/>
        <w:autoSpaceDN w:val="0"/>
        <w:adjustRightInd w:val="0"/>
        <w:jc w:val="both"/>
        <w:rPr>
          <w:b/>
          <w:bCs/>
          <w:i/>
        </w:rPr>
      </w:pPr>
      <w:r w:rsidRPr="00565F28">
        <w:rPr>
          <w:b/>
          <w:bCs/>
          <w:i/>
        </w:rPr>
        <w:lastRenderedPageBreak/>
        <w:t>Pasivos diferidos a largo plazo</w:t>
      </w:r>
    </w:p>
    <w:p w14:paraId="2E890294" w14:textId="77777777" w:rsidR="00565F28" w:rsidRPr="00565F28" w:rsidRDefault="00565F28" w:rsidP="00565F28">
      <w:pPr>
        <w:jc w:val="both"/>
        <w:outlineLvl w:val="0"/>
        <w:rPr>
          <w:b/>
          <w:bCs/>
          <w:i/>
        </w:rPr>
      </w:pPr>
    </w:p>
    <w:p w14:paraId="5934C44D" w14:textId="77777777" w:rsidR="00565F28" w:rsidRPr="00565F28" w:rsidRDefault="00565F28" w:rsidP="00565F28">
      <w:pPr>
        <w:autoSpaceDE w:val="0"/>
        <w:autoSpaceDN w:val="0"/>
        <w:adjustRightInd w:val="0"/>
        <w:jc w:val="both"/>
      </w:pPr>
      <w:r w:rsidRPr="00565F28">
        <w:t>Este rubro del pasivo no circulante se integra por el registro de prestaciones salariales del personal de burocracia y magisterio del Poder Ejecutivo como son: sueldos y salarios, horas extras, prima vacacional, bono de productividad, honorarios y aguinaldo devengado no pagado a la fecha que se informa, las aportaciones patronales al IMSS, ISSTECH, ISSSTE, FOVISSSTE, FPSSTSP, INFONAVIT y el 2 % del Impuesto Sobre Nóminas.</w:t>
      </w:r>
    </w:p>
    <w:p w14:paraId="585BA453" w14:textId="77777777" w:rsidR="00565F28" w:rsidRPr="00565F28" w:rsidRDefault="00565F28" w:rsidP="00565F28">
      <w:pPr>
        <w:autoSpaceDE w:val="0"/>
        <w:autoSpaceDN w:val="0"/>
        <w:adjustRightInd w:val="0"/>
        <w:jc w:val="both"/>
      </w:pPr>
    </w:p>
    <w:p w14:paraId="4EBBE2A3" w14:textId="77777777" w:rsidR="00565F28" w:rsidRPr="00565F28" w:rsidRDefault="00565F28" w:rsidP="00565F28">
      <w:pPr>
        <w:jc w:val="both"/>
        <w:outlineLvl w:val="0"/>
      </w:pPr>
      <w:r w:rsidRPr="00565F28">
        <w:t>También, forman parte los recursos de ayudas sociales para: personas, instituciones de enseñanza; becas para alumnos de diferentes niveles educativos, para programas de capacitación y para hijos de madres solteras; además, por los subsidios al campo y a los entes públicos; asimismo, por los pasivos trasladados de dependencias, aportaciones a fideicomisos, aportaciones para seguros, premios otorgados, reintegros de recursos, descuentos por gastos funerarios, abonos bancarios por aclarar, adeudos de gastos por responsabilidades, cheques cancelados y los rendimientos bancarios.</w:t>
      </w:r>
    </w:p>
    <w:p w14:paraId="18F262EE" w14:textId="77777777" w:rsidR="00565F28" w:rsidRPr="00565F28" w:rsidRDefault="00565F28" w:rsidP="00565F28">
      <w:pPr>
        <w:jc w:val="both"/>
        <w:outlineLvl w:val="0"/>
      </w:pPr>
    </w:p>
    <w:p w14:paraId="25CA0487" w14:textId="77777777" w:rsidR="00565F28" w:rsidRPr="00565F28" w:rsidRDefault="00565F28" w:rsidP="00565F28">
      <w:pPr>
        <w:autoSpaceDE w:val="0"/>
        <w:autoSpaceDN w:val="0"/>
        <w:adjustRightInd w:val="0"/>
        <w:jc w:val="both"/>
      </w:pPr>
      <w:r w:rsidRPr="00565F28">
        <w:t>Se incluyen en este rubro, el registro de las retenciones por servicios personales: seguro de vida, ISSS, recuperación de préstamos personales, préstamos con instituciones financieras, cuota sindical, aportaciones al fondo de ahorro, aportaciones al seguro institucional, pensión alimenticia; además, de las retenciones y contribuciones a favor de terceros, 2 % del Impuesto Sobre Nóminas de prestadores de servicios, ISR por servicios profesionales, así como, el ISR por honorarios y/o arrendamiento de inmuebles.</w:t>
      </w:r>
    </w:p>
    <w:p w14:paraId="521C6E22" w14:textId="77777777" w:rsidR="00565F28" w:rsidRPr="00565F28" w:rsidRDefault="00565F28" w:rsidP="00565F28">
      <w:pPr>
        <w:autoSpaceDE w:val="0"/>
        <w:autoSpaceDN w:val="0"/>
        <w:adjustRightInd w:val="0"/>
        <w:jc w:val="both"/>
      </w:pPr>
    </w:p>
    <w:p w14:paraId="27B9E5F2" w14:textId="77777777" w:rsidR="00565F28" w:rsidRPr="00565F28" w:rsidRDefault="00565F28" w:rsidP="00565F28">
      <w:pPr>
        <w:jc w:val="both"/>
        <w:outlineLvl w:val="0"/>
      </w:pPr>
      <w:r w:rsidRPr="00565F28">
        <w:t>Además, por las retenciones efectuadas a los contratistas por obra pública, por los siguientes conceptos:</w:t>
      </w:r>
    </w:p>
    <w:p w14:paraId="21B7355B" w14:textId="77777777" w:rsidR="00565F28" w:rsidRPr="00565F28" w:rsidRDefault="00565F28" w:rsidP="00565F28">
      <w:pPr>
        <w:jc w:val="both"/>
        <w:outlineLvl w:val="0"/>
      </w:pPr>
    </w:p>
    <w:p w14:paraId="0C869FA1" w14:textId="77777777" w:rsidR="00565F28" w:rsidRPr="00565F28" w:rsidRDefault="00565F28" w:rsidP="00565F28">
      <w:pPr>
        <w:numPr>
          <w:ilvl w:val="0"/>
          <w:numId w:val="1"/>
        </w:numPr>
        <w:tabs>
          <w:tab w:val="clear" w:pos="720"/>
        </w:tabs>
        <w:spacing w:after="120"/>
        <w:ind w:left="357" w:hanging="357"/>
        <w:jc w:val="both"/>
      </w:pPr>
      <w:r w:rsidRPr="00565F28">
        <w:t>1 % de Aportación al Estado para Obras de Beneficio Social,</w:t>
      </w:r>
    </w:p>
    <w:p w14:paraId="23A6A67A" w14:textId="77777777" w:rsidR="00565F28" w:rsidRPr="00565F28" w:rsidRDefault="00565F28" w:rsidP="00565F28">
      <w:pPr>
        <w:numPr>
          <w:ilvl w:val="0"/>
          <w:numId w:val="1"/>
        </w:numPr>
        <w:tabs>
          <w:tab w:val="clear" w:pos="720"/>
        </w:tabs>
        <w:spacing w:after="120"/>
        <w:ind w:left="357" w:hanging="357"/>
        <w:jc w:val="both"/>
      </w:pPr>
      <w:r w:rsidRPr="00565F28">
        <w:t>2 al millar para el Instituto de Capacitación de la Industria de la Construcción, y</w:t>
      </w:r>
    </w:p>
    <w:p w14:paraId="4B4D58A2" w14:textId="77777777" w:rsidR="00565F28" w:rsidRPr="00565F28" w:rsidRDefault="00565F28" w:rsidP="00565F28">
      <w:pPr>
        <w:numPr>
          <w:ilvl w:val="0"/>
          <w:numId w:val="1"/>
        </w:numPr>
        <w:tabs>
          <w:tab w:val="clear" w:pos="720"/>
        </w:tabs>
        <w:spacing w:after="120"/>
        <w:ind w:left="357" w:hanging="357"/>
        <w:jc w:val="both"/>
      </w:pPr>
      <w:r w:rsidRPr="00565F28">
        <w:t>5 al millar de Inspección y Vigilancia.</w:t>
      </w:r>
    </w:p>
    <w:p w14:paraId="714E0F2C" w14:textId="77777777" w:rsidR="00565F28" w:rsidRPr="00565F28" w:rsidRDefault="00565F28" w:rsidP="00565F28">
      <w:pPr>
        <w:jc w:val="both"/>
        <w:outlineLvl w:val="0"/>
      </w:pPr>
    </w:p>
    <w:p w14:paraId="5AA90065" w14:textId="77777777" w:rsidR="00565F28" w:rsidRPr="00565F28" w:rsidRDefault="00565F28" w:rsidP="00565F28">
      <w:pPr>
        <w:jc w:val="both"/>
        <w:outlineLvl w:val="0"/>
      </w:pPr>
      <w:r w:rsidRPr="00565F28">
        <w:t>El saldo de este rubro al 31 de diciembre de 2022, ascendió a 1 mil 521.6 millones de pesos, y representa el 8.7 % del total del pasivo no circulante.</w:t>
      </w:r>
    </w:p>
    <w:p w14:paraId="208114CF" w14:textId="77777777" w:rsidR="00565F28" w:rsidRPr="00565F28" w:rsidRDefault="00565F28" w:rsidP="00565F28">
      <w:pPr>
        <w:jc w:val="both"/>
        <w:outlineLvl w:val="0"/>
      </w:pPr>
    </w:p>
    <w:p w14:paraId="1308152E" w14:textId="77777777" w:rsidR="00565F28" w:rsidRPr="00565F28" w:rsidRDefault="00565F28" w:rsidP="00565F28">
      <w:pPr>
        <w:jc w:val="center"/>
        <w:outlineLvl w:val="0"/>
      </w:pPr>
      <w:r w:rsidRPr="00565F28">
        <w:rPr>
          <w:noProof/>
          <w:lang w:eastAsia="es-MX"/>
        </w:rPr>
        <w:drawing>
          <wp:inline distT="0" distB="0" distL="0" distR="0" wp14:anchorId="5F588679" wp14:editId="622BC871">
            <wp:extent cx="4371975" cy="9620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3821403B" w14:textId="77777777" w:rsidR="00565F28" w:rsidRPr="00565F28" w:rsidRDefault="00565F28" w:rsidP="00565F28">
      <w:pPr>
        <w:jc w:val="both"/>
        <w:outlineLvl w:val="0"/>
        <w:rPr>
          <w:b/>
          <w:bCs/>
          <w:i/>
        </w:rPr>
      </w:pPr>
    </w:p>
    <w:p w14:paraId="6EA9EBF3" w14:textId="77777777" w:rsidR="00565F28" w:rsidRPr="00565F28" w:rsidRDefault="00565F28" w:rsidP="00565F28">
      <w:pPr>
        <w:jc w:val="both"/>
        <w:outlineLvl w:val="0"/>
        <w:rPr>
          <w:b/>
          <w:bCs/>
          <w:i/>
        </w:rPr>
      </w:pPr>
    </w:p>
    <w:p w14:paraId="07CDC54A" w14:textId="77777777" w:rsidR="00565F28" w:rsidRPr="00565F28" w:rsidRDefault="00565F28" w:rsidP="00565F28">
      <w:pPr>
        <w:autoSpaceDE w:val="0"/>
        <w:autoSpaceDN w:val="0"/>
        <w:adjustRightInd w:val="0"/>
        <w:jc w:val="both"/>
        <w:rPr>
          <w:b/>
          <w:bCs/>
          <w:i/>
        </w:rPr>
      </w:pPr>
      <w:r w:rsidRPr="00565F28">
        <w:rPr>
          <w:b/>
          <w:bCs/>
          <w:i/>
        </w:rPr>
        <w:t>Fondos y bienes de terceros en garantía y/o administración a largo plazo</w:t>
      </w:r>
    </w:p>
    <w:p w14:paraId="7C164CAB" w14:textId="77777777" w:rsidR="00565F28" w:rsidRPr="00565F28" w:rsidRDefault="00565F28" w:rsidP="00565F28">
      <w:pPr>
        <w:jc w:val="both"/>
        <w:outlineLvl w:val="0"/>
      </w:pPr>
    </w:p>
    <w:p w14:paraId="7E884370" w14:textId="77777777" w:rsidR="00565F28" w:rsidRPr="00565F28" w:rsidRDefault="00565F28" w:rsidP="00565F28">
      <w:pPr>
        <w:jc w:val="both"/>
        <w:outlineLvl w:val="0"/>
      </w:pPr>
      <w:r w:rsidRPr="00565F28">
        <w:t>A 922.2 millones de pesos asciende el saldo de este rubro al 31 de diciembre de 2022 y corresponde a los siguientes fondos: Fondo de Garantía de Notariado del Estado, Fondo de Previsión del Seguro de Vida del personal de burocracia, Fondo Nacional de Desastres Naturales y Fondo Nacional de Habitaciones Populares.</w:t>
      </w:r>
    </w:p>
    <w:p w14:paraId="4C9021B0" w14:textId="77777777" w:rsidR="00565F28" w:rsidRPr="00565F28" w:rsidRDefault="00565F28" w:rsidP="00565F28">
      <w:pPr>
        <w:jc w:val="both"/>
        <w:outlineLvl w:val="0"/>
      </w:pPr>
    </w:p>
    <w:p w14:paraId="50693C78" w14:textId="77777777" w:rsidR="00565F28" w:rsidRPr="00565F28" w:rsidRDefault="00565F28" w:rsidP="00565F28">
      <w:pPr>
        <w:jc w:val="both"/>
        <w:outlineLvl w:val="0"/>
      </w:pPr>
      <w:r w:rsidRPr="00565F28">
        <w:t>También, se integra por el registro de recursos administrados pertenecientes a los entes públicos, correspondiente a las obligaciones con recursos ajenos, destinados para programas en zonas prioritarias y vulnerables.</w:t>
      </w:r>
    </w:p>
    <w:p w14:paraId="7041B822" w14:textId="77777777" w:rsidR="00565F28" w:rsidRPr="00565F28" w:rsidRDefault="00565F28" w:rsidP="00565F28">
      <w:pPr>
        <w:jc w:val="both"/>
        <w:outlineLvl w:val="0"/>
      </w:pPr>
    </w:p>
    <w:p w14:paraId="2441E9D0" w14:textId="77777777" w:rsidR="00565F28" w:rsidRPr="00565F28" w:rsidRDefault="00565F28" w:rsidP="00565F28">
      <w:pPr>
        <w:jc w:val="both"/>
        <w:rPr>
          <w:rFonts w:eastAsia="Arial"/>
        </w:rPr>
      </w:pPr>
      <w:r w:rsidRPr="00565F28">
        <w:t xml:space="preserve">Además, se incluyen dentro de este rubro, </w:t>
      </w:r>
      <w:r w:rsidRPr="00565F28">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565F28">
        <w:t xml:space="preserve">los rendimientos bancarios, costo de nóminas, cuotas ISSTECH y 2 % del Impuesto Sobre Nóminas, cheques en circulación no cobrados en su oportunidad, recursos de los programas Amanecer y </w:t>
      </w:r>
      <w:proofErr w:type="spellStart"/>
      <w:r w:rsidRPr="00565F28">
        <w:t>Banmujer</w:t>
      </w:r>
      <w:proofErr w:type="spellEnd"/>
      <w:r w:rsidRPr="00565F28">
        <w:t>, sobrantes de socorro de ley, reintegros de recursos, subsidio al empleo y maquila de cheques.</w:t>
      </w:r>
    </w:p>
    <w:p w14:paraId="0FB394FA" w14:textId="77777777" w:rsidR="00565F28" w:rsidRPr="00565F28" w:rsidRDefault="00565F28" w:rsidP="00565F28">
      <w:pPr>
        <w:jc w:val="both"/>
        <w:outlineLvl w:val="0"/>
      </w:pPr>
    </w:p>
    <w:p w14:paraId="7766E813" w14:textId="77777777" w:rsidR="00565F28" w:rsidRPr="00565F28" w:rsidRDefault="00565F28" w:rsidP="00565F28">
      <w:pPr>
        <w:jc w:val="both"/>
        <w:outlineLvl w:val="0"/>
      </w:pPr>
      <w:r w:rsidRPr="00565F28">
        <w:t>Este rubro representa el 5.2 % del total del pasivo no circulante.</w:t>
      </w:r>
    </w:p>
    <w:p w14:paraId="41E21604" w14:textId="77777777" w:rsidR="00565F28" w:rsidRPr="00565F28" w:rsidRDefault="00565F28" w:rsidP="00565F28">
      <w:pPr>
        <w:jc w:val="both"/>
        <w:outlineLvl w:val="0"/>
      </w:pPr>
    </w:p>
    <w:p w14:paraId="19736DB3" w14:textId="77777777" w:rsidR="00565F28" w:rsidRPr="00565F28" w:rsidRDefault="00565F28" w:rsidP="00565F28">
      <w:pPr>
        <w:jc w:val="center"/>
        <w:outlineLvl w:val="0"/>
      </w:pPr>
      <w:r w:rsidRPr="00565F28">
        <w:rPr>
          <w:noProof/>
          <w:lang w:eastAsia="es-MX"/>
        </w:rPr>
        <w:lastRenderedPageBreak/>
        <w:drawing>
          <wp:inline distT="0" distB="0" distL="0" distR="0" wp14:anchorId="44B573E3" wp14:editId="002BA755">
            <wp:extent cx="4371975" cy="1800225"/>
            <wp:effectExtent l="0" t="0" r="9525"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14:paraId="7C44221F" w14:textId="77777777" w:rsidR="00565F28" w:rsidRPr="00565F28" w:rsidRDefault="00565F28" w:rsidP="00565F28">
      <w:pPr>
        <w:jc w:val="both"/>
        <w:outlineLvl w:val="0"/>
      </w:pPr>
    </w:p>
    <w:p w14:paraId="5CDE0502" w14:textId="77777777" w:rsidR="00565F28" w:rsidRPr="00565F28" w:rsidRDefault="00565F28" w:rsidP="00565F28">
      <w:pPr>
        <w:jc w:val="both"/>
        <w:outlineLvl w:val="0"/>
      </w:pPr>
    </w:p>
    <w:p w14:paraId="4C730068" w14:textId="77777777" w:rsidR="00565F28" w:rsidRPr="00565F28" w:rsidRDefault="00565F28" w:rsidP="00565F28">
      <w:pPr>
        <w:autoSpaceDE w:val="0"/>
        <w:autoSpaceDN w:val="0"/>
        <w:adjustRightInd w:val="0"/>
        <w:jc w:val="both"/>
        <w:rPr>
          <w:b/>
          <w:bCs/>
          <w:i/>
        </w:rPr>
      </w:pPr>
      <w:r w:rsidRPr="00565F28">
        <w:rPr>
          <w:b/>
          <w:bCs/>
          <w:i/>
        </w:rPr>
        <w:t>Provisiones a largo plazo</w:t>
      </w:r>
    </w:p>
    <w:p w14:paraId="72E37816" w14:textId="77777777" w:rsidR="00565F28" w:rsidRPr="00565F28" w:rsidRDefault="00565F28" w:rsidP="00565F28">
      <w:pPr>
        <w:jc w:val="both"/>
        <w:outlineLvl w:val="0"/>
        <w:rPr>
          <w:b/>
          <w:bCs/>
          <w:i/>
          <w:iCs w:val="0"/>
        </w:rPr>
      </w:pPr>
    </w:p>
    <w:p w14:paraId="1B82C9D3" w14:textId="77777777" w:rsidR="00565F28" w:rsidRPr="00565F28" w:rsidRDefault="00565F28" w:rsidP="00565F28">
      <w:pPr>
        <w:jc w:val="both"/>
        <w:outlineLvl w:val="0"/>
      </w:pPr>
      <w:r w:rsidRPr="00565F28">
        <w:t>Al 31 de diciembre de 2022, este rubro del pasivo no circulante, asciende a 30.0 millones de pesos, integrado por la provisión para demandas y juicios a largo plazo, para hacer frente a casos fortuitos, que resulten de la operatividad de los entes públicos que conforman el Poder Ejecutivo.</w:t>
      </w:r>
    </w:p>
    <w:p w14:paraId="03855170" w14:textId="77777777" w:rsidR="00565F28" w:rsidRPr="00565F28" w:rsidRDefault="00565F28" w:rsidP="00565F28">
      <w:pPr>
        <w:jc w:val="both"/>
        <w:outlineLvl w:val="0"/>
      </w:pPr>
    </w:p>
    <w:p w14:paraId="2C91E87E" w14:textId="77777777" w:rsidR="00565F28" w:rsidRPr="00565F28" w:rsidRDefault="00565F28" w:rsidP="00565F28">
      <w:pPr>
        <w:jc w:val="both"/>
        <w:outlineLvl w:val="0"/>
      </w:pPr>
      <w:r w:rsidRPr="00565F28">
        <w:t>Este rubro representa el 0.2 % del total del pasivo no circulante.</w:t>
      </w:r>
    </w:p>
    <w:p w14:paraId="7490E317" w14:textId="77777777" w:rsidR="00565F28" w:rsidRPr="00565F28" w:rsidRDefault="00565F28" w:rsidP="00565F28">
      <w:pPr>
        <w:jc w:val="both"/>
        <w:outlineLvl w:val="0"/>
      </w:pPr>
    </w:p>
    <w:p w14:paraId="7564E7D5" w14:textId="77777777" w:rsidR="00565F28" w:rsidRPr="00565F28" w:rsidRDefault="00565F28" w:rsidP="00565F28">
      <w:pPr>
        <w:jc w:val="center"/>
        <w:outlineLvl w:val="0"/>
      </w:pPr>
      <w:r w:rsidRPr="00565F28">
        <w:rPr>
          <w:noProof/>
          <w:lang w:eastAsia="es-MX"/>
        </w:rPr>
        <w:drawing>
          <wp:inline distT="0" distB="0" distL="0" distR="0" wp14:anchorId="25BF0F85" wp14:editId="2DC3182B">
            <wp:extent cx="4371975" cy="109537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3B1EC799" w14:textId="77777777" w:rsidR="00565F28" w:rsidRPr="00565F28" w:rsidRDefault="00565F28" w:rsidP="00565F28">
      <w:pPr>
        <w:rPr>
          <w:b/>
          <w:bCs/>
          <w:caps/>
        </w:rPr>
      </w:pPr>
    </w:p>
    <w:p w14:paraId="26DBFDBE" w14:textId="77777777" w:rsidR="00565F28" w:rsidRPr="00177742" w:rsidRDefault="00565F28" w:rsidP="00565F28">
      <w:pPr>
        <w:jc w:val="both"/>
        <w:rPr>
          <w:b/>
          <w:bCs/>
          <w:caps/>
          <w:sz w:val="22"/>
        </w:rPr>
      </w:pPr>
      <w:r w:rsidRPr="00177742">
        <w:rPr>
          <w:b/>
          <w:bCs/>
          <w:sz w:val="22"/>
        </w:rPr>
        <w:t>Al estado de actividades</w:t>
      </w:r>
    </w:p>
    <w:p w14:paraId="60A22E99" w14:textId="77777777" w:rsidR="00565F28" w:rsidRPr="00C4677F" w:rsidRDefault="00565F28" w:rsidP="00565F28">
      <w:pPr>
        <w:jc w:val="both"/>
        <w:outlineLvl w:val="0"/>
      </w:pPr>
    </w:p>
    <w:p w14:paraId="48E295D9" w14:textId="77777777" w:rsidR="00565F28" w:rsidRPr="00C4677F" w:rsidRDefault="00565F28" w:rsidP="00565F28">
      <w:pPr>
        <w:jc w:val="both"/>
        <w:outlineLvl w:val="0"/>
      </w:pPr>
      <w:r w:rsidRPr="00C4677F">
        <w:t xml:space="preserve">El resultado obtenido del 1 de enero </w:t>
      </w:r>
      <w:r>
        <w:t>a</w:t>
      </w:r>
      <w:r w:rsidRPr="000B74DF">
        <w:t>l 3</w:t>
      </w:r>
      <w:r>
        <w:t>1</w:t>
      </w:r>
      <w:r w:rsidRPr="000B74DF">
        <w:t xml:space="preserve"> de </w:t>
      </w:r>
      <w:r>
        <w:t>diciembre</w:t>
      </w:r>
      <w:r w:rsidRPr="000B74DF">
        <w:t xml:space="preserve"> </w:t>
      </w:r>
      <w:r w:rsidRPr="00C4677F">
        <w:t xml:space="preserve">de </w:t>
      </w:r>
      <w:r>
        <w:t>2022</w:t>
      </w:r>
      <w:r w:rsidRPr="00C4677F">
        <w:t xml:space="preserve">, </w:t>
      </w:r>
      <w:r>
        <w:t>presenta un ahorro por</w:t>
      </w:r>
      <w:r w:rsidRPr="00C4677F">
        <w:t xml:space="preserve"> </w:t>
      </w:r>
      <w:r>
        <w:t>46</w:t>
      </w:r>
      <w:r w:rsidRPr="00C4677F">
        <w:t xml:space="preserve"> mil </w:t>
      </w:r>
      <w:r>
        <w:t>849.2</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379B7FBF" w14:textId="77777777" w:rsidR="00565F28" w:rsidRDefault="00565F28" w:rsidP="00565F28">
      <w:pPr>
        <w:outlineLvl w:val="0"/>
      </w:pPr>
    </w:p>
    <w:p w14:paraId="63809B06" w14:textId="77777777" w:rsidR="00565F28" w:rsidRDefault="00565F28" w:rsidP="00565F28">
      <w:pPr>
        <w:jc w:val="both"/>
        <w:outlineLvl w:val="0"/>
      </w:pPr>
    </w:p>
    <w:p w14:paraId="57C830CF" w14:textId="77777777" w:rsidR="00565F28" w:rsidRPr="000B74DF" w:rsidRDefault="00565F28" w:rsidP="00565F28">
      <w:pPr>
        <w:jc w:val="both"/>
        <w:outlineLvl w:val="0"/>
        <w:rPr>
          <w:b/>
          <w:bCs/>
          <w:i/>
          <w:iCs w:val="0"/>
        </w:rPr>
      </w:pPr>
      <w:r w:rsidRPr="000B74DF">
        <w:rPr>
          <w:b/>
          <w:bCs/>
          <w:i/>
        </w:rPr>
        <w:t>Ingresos y otros beneficios</w:t>
      </w:r>
    </w:p>
    <w:p w14:paraId="36056A2A" w14:textId="77777777" w:rsidR="00565F28" w:rsidRPr="00C4677F" w:rsidRDefault="00565F28" w:rsidP="00565F28">
      <w:pPr>
        <w:jc w:val="both"/>
        <w:rPr>
          <w:rFonts w:eastAsia="Arial"/>
        </w:rPr>
      </w:pPr>
    </w:p>
    <w:p w14:paraId="08C6957E" w14:textId="77777777" w:rsidR="00565F28" w:rsidRDefault="00565F28" w:rsidP="00565F28">
      <w:pPr>
        <w:jc w:val="both"/>
        <w:rPr>
          <w:rFonts w:eastAsia="Arial"/>
        </w:rPr>
      </w:pPr>
      <w:r w:rsidRPr="00C4677F">
        <w:rPr>
          <w:rFonts w:eastAsia="Arial"/>
        </w:rPr>
        <w:t xml:space="preserve">Los ingresos ascienden a </w:t>
      </w:r>
      <w:r>
        <w:t>117</w:t>
      </w:r>
      <w:r w:rsidRPr="00C4677F">
        <w:t xml:space="preserve"> mil </w:t>
      </w:r>
      <w:r>
        <w:t>191.9</w:t>
      </w:r>
      <w:r w:rsidRPr="00C4677F">
        <w:t xml:space="preserve"> </w:t>
      </w:r>
      <w:r w:rsidRPr="00C4677F">
        <w:rPr>
          <w:rFonts w:eastAsia="Arial"/>
        </w:rPr>
        <w:t>millones de pesos y se i</w:t>
      </w:r>
      <w:r>
        <w:rPr>
          <w:rFonts w:eastAsia="Arial"/>
        </w:rPr>
        <w:t>ntegran principalmente por los Ingresos de L</w:t>
      </w:r>
      <w:r w:rsidRPr="00C4677F">
        <w:rPr>
          <w:rFonts w:eastAsia="Arial"/>
        </w:rPr>
        <w:t xml:space="preserve">ey, </w:t>
      </w:r>
      <w:r w:rsidRPr="008876FF">
        <w:rPr>
          <w:rFonts w:eastAsia="Arial"/>
        </w:rPr>
        <w:t xml:space="preserve">estos son originados por los impuestos, </w:t>
      </w:r>
      <w:r>
        <w:rPr>
          <w:rFonts w:eastAsia="Arial"/>
        </w:rPr>
        <w:t>por la enajenación de bienes y</w:t>
      </w:r>
      <w:r w:rsidRPr="008876FF">
        <w:rPr>
          <w:rFonts w:eastAsia="Arial"/>
        </w:rPr>
        <w:t xml:space="preserve"> los servicios prestados por los </w:t>
      </w:r>
      <w:r>
        <w:rPr>
          <w:rFonts w:eastAsia="Arial"/>
        </w:rPr>
        <w:t>entes</w:t>
      </w:r>
      <w:r w:rsidRPr="008876FF">
        <w:rPr>
          <w:rFonts w:eastAsia="Arial"/>
        </w:rPr>
        <w:t xml:space="preserve"> públicos que conforman el</w:t>
      </w:r>
      <w:r w:rsidRPr="00C4677F">
        <w:rPr>
          <w:rFonts w:eastAsia="Arial"/>
        </w:rPr>
        <w:t xml:space="preserve"> Poder Ejecutivo, </w:t>
      </w:r>
      <w:r>
        <w:rPr>
          <w:rFonts w:eastAsia="Arial"/>
        </w:rPr>
        <w:t xml:space="preserve">por los </w:t>
      </w:r>
      <w:r w:rsidRPr="008876FF">
        <w:rPr>
          <w:rFonts w:eastAsia="Arial"/>
        </w:rPr>
        <w:t>derechos,</w:t>
      </w:r>
      <w:r>
        <w:rPr>
          <w:rFonts w:eastAsia="Arial"/>
        </w:rPr>
        <w:t xml:space="preserve"> productos y aprovechamientos,</w:t>
      </w:r>
      <w:r w:rsidRPr="00C4677F">
        <w:rPr>
          <w:rFonts w:eastAsia="Arial"/>
        </w:rPr>
        <w:t xml:space="preserve"> así como, los recibidos a través de Participaciones, Aportaciones, Convenios, Incentivos Derivados de la Colaboración Fiscal, Fondos Distintos de Aportaciones, Transferencias, Asignaciones, Subsidios y Subvenciones, y Pension</w:t>
      </w:r>
      <w:r>
        <w:rPr>
          <w:rFonts w:eastAsia="Arial"/>
        </w:rPr>
        <w:t>es y Jubilaciones del Gobierno f</w:t>
      </w:r>
      <w:r w:rsidRPr="00C4677F">
        <w:rPr>
          <w:rFonts w:eastAsia="Arial"/>
        </w:rPr>
        <w:t xml:space="preserve">ederal o de instituciones nacionales y extranjeras no gubernamentales. </w:t>
      </w:r>
    </w:p>
    <w:p w14:paraId="4561BA25" w14:textId="77777777" w:rsidR="00565F28" w:rsidRPr="00C4677F" w:rsidRDefault="00565F28" w:rsidP="00565F28">
      <w:pPr>
        <w:jc w:val="both"/>
        <w:rPr>
          <w:rFonts w:eastAsia="Arial"/>
        </w:rPr>
      </w:pPr>
    </w:p>
    <w:p w14:paraId="512F0032" w14:textId="77777777" w:rsidR="00565F28" w:rsidRPr="00C4677F" w:rsidRDefault="00565F28" w:rsidP="00565F28">
      <w:pPr>
        <w:jc w:val="both"/>
        <w:rPr>
          <w:rFonts w:eastAsia="Arial"/>
        </w:rPr>
      </w:pPr>
      <w:r w:rsidRPr="00C4677F">
        <w:rPr>
          <w:rFonts w:eastAsia="Arial"/>
        </w:rPr>
        <w:t xml:space="preserve">Se registran también dentro de este rubro, </w:t>
      </w:r>
      <w:r w:rsidRPr="00C4677F">
        <w:t>las diferencias a favor de operaciones en moneda extranjera,</w:t>
      </w:r>
      <w:r w:rsidRPr="00C4677F">
        <w:rPr>
          <w:rFonts w:eastAsia="Arial"/>
        </w:rPr>
        <w:t xml:space="preserve"> por los redondeos a favor por concepto de pagos de facturas e impuestos, por apertura de cuentas bancarias,</w:t>
      </w:r>
      <w:r>
        <w:rPr>
          <w:rFonts w:eastAsia="Arial"/>
        </w:rPr>
        <w:t xml:space="preserve"> </w:t>
      </w:r>
      <w:r w:rsidRPr="00C4677F">
        <w:rPr>
          <w:rFonts w:eastAsia="Arial"/>
        </w:rPr>
        <w:t>entre otros.</w:t>
      </w:r>
    </w:p>
    <w:p w14:paraId="13276771" w14:textId="77777777" w:rsidR="00565F28" w:rsidRPr="00C4677F" w:rsidRDefault="00565F28" w:rsidP="00565F28">
      <w:pPr>
        <w:jc w:val="both"/>
        <w:outlineLvl w:val="0"/>
        <w:rPr>
          <w:b/>
          <w:bCs/>
          <w:i/>
          <w:iCs w:val="0"/>
        </w:rPr>
      </w:pPr>
    </w:p>
    <w:p w14:paraId="69B81564" w14:textId="77777777" w:rsidR="00565F28" w:rsidRPr="000B74DF" w:rsidRDefault="00565F28" w:rsidP="00565F28">
      <w:pPr>
        <w:jc w:val="both"/>
        <w:outlineLvl w:val="0"/>
        <w:rPr>
          <w:b/>
          <w:bCs/>
          <w:i/>
        </w:rPr>
      </w:pPr>
      <w:r w:rsidRPr="000B74DF">
        <w:rPr>
          <w:b/>
          <w:bCs/>
          <w:i/>
        </w:rPr>
        <w:t>Gastos y otras pérdidas</w:t>
      </w:r>
    </w:p>
    <w:p w14:paraId="56199822" w14:textId="77777777" w:rsidR="00565F28" w:rsidRPr="00C4677F" w:rsidRDefault="00565F28" w:rsidP="00565F28">
      <w:pPr>
        <w:jc w:val="both"/>
        <w:outlineLvl w:val="0"/>
        <w:rPr>
          <w:b/>
          <w:bCs/>
          <w:i/>
          <w:iCs w:val="0"/>
        </w:rPr>
      </w:pPr>
    </w:p>
    <w:p w14:paraId="2EEE4564" w14:textId="77777777" w:rsidR="00565F28" w:rsidRDefault="00565F28" w:rsidP="00565F28">
      <w:pPr>
        <w:jc w:val="both"/>
        <w:outlineLvl w:val="0"/>
      </w:pPr>
      <w:r w:rsidRPr="008876FF">
        <w:t>Son aquellas cuentas que registran los gastos de funcionamiento de la administración pública, transferencias, asignaciones, subsidios y otras ayudas, aplicados en proyectos a favor de la ciudadanía.</w:t>
      </w:r>
    </w:p>
    <w:p w14:paraId="05E8DC88" w14:textId="77777777" w:rsidR="00565F28" w:rsidRDefault="00565F28" w:rsidP="00565F28">
      <w:pPr>
        <w:jc w:val="both"/>
        <w:outlineLvl w:val="0"/>
      </w:pPr>
    </w:p>
    <w:p w14:paraId="516100A8" w14:textId="77777777" w:rsidR="00565F28" w:rsidRDefault="00565F28" w:rsidP="00565F28">
      <w:pPr>
        <w:jc w:val="both"/>
        <w:outlineLvl w:val="0"/>
      </w:pPr>
      <w:r>
        <w:t>Se incluye</w:t>
      </w:r>
      <w:r w:rsidRPr="008876FF">
        <w:t xml:space="preserve"> dentro de este rubro</w:t>
      </w:r>
      <w:r>
        <w:t xml:space="preserve"> </w:t>
      </w:r>
      <w:r w:rsidRPr="00E47F6A">
        <w:t xml:space="preserve">los ADEFAS, </w:t>
      </w:r>
      <w:r>
        <w:t xml:space="preserve">la depreciación de bienes muebles, así como, el registro de bajas de bienes </w:t>
      </w:r>
      <w:r w:rsidRPr="008876FF">
        <w:t>por pér</w:t>
      </w:r>
      <w:r>
        <w:t>dida, obsolescencia y deterioro.</w:t>
      </w:r>
    </w:p>
    <w:p w14:paraId="1163102A" w14:textId="77777777" w:rsidR="00565F28" w:rsidRPr="008876FF" w:rsidRDefault="00565F28" w:rsidP="00565F28">
      <w:pPr>
        <w:jc w:val="both"/>
        <w:outlineLvl w:val="0"/>
      </w:pPr>
    </w:p>
    <w:p w14:paraId="206FDAA6" w14:textId="77777777" w:rsidR="00565F28" w:rsidRPr="008876FF" w:rsidRDefault="00565F28" w:rsidP="00565F28">
      <w:pPr>
        <w:jc w:val="both"/>
        <w:outlineLvl w:val="0"/>
      </w:pPr>
      <w:r w:rsidRPr="008876FF">
        <w:lastRenderedPageBreak/>
        <w:t>También, se encuentran las diferencias a cargo por las operaciones en moneda extranjera,</w:t>
      </w:r>
      <w:r>
        <w:t xml:space="preserve"> los gastos de fideicomisos no recuperables, las recuperaciones de capital, </w:t>
      </w:r>
      <w:r w:rsidRPr="008876FF">
        <w:t>el registro de aquellos bienes enajenables e inventariables, cuyo costo unitario de adquisición no sobrepasa 70 veces el valor diario de la Unidad d</w:t>
      </w:r>
      <w:r>
        <w:t>e Medida y Actualización (UMA), y</w:t>
      </w:r>
      <w:r w:rsidRPr="008876FF">
        <w:t xml:space="preserve"> por los redondeos a cargo por concepto de pagos de facturas e impuestos, </w:t>
      </w:r>
      <w:r>
        <w:t>a</w:t>
      </w:r>
      <w:r w:rsidRPr="000B74DF">
        <w:t>l 3</w:t>
      </w:r>
      <w:r>
        <w:t>1</w:t>
      </w:r>
      <w:r w:rsidRPr="000B74DF">
        <w:t xml:space="preserve"> de </w:t>
      </w:r>
      <w:r>
        <w:t xml:space="preserve">diciembre </w:t>
      </w:r>
      <w:r w:rsidRPr="008876FF">
        <w:t xml:space="preserve">de </w:t>
      </w:r>
      <w:r>
        <w:t>2022</w:t>
      </w:r>
      <w:r w:rsidRPr="008876FF">
        <w:t>.</w:t>
      </w:r>
    </w:p>
    <w:p w14:paraId="7E23DF67" w14:textId="77777777" w:rsidR="00565F28" w:rsidRPr="00C4677F" w:rsidRDefault="00565F28" w:rsidP="00565F28">
      <w:pPr>
        <w:jc w:val="both"/>
        <w:outlineLvl w:val="0"/>
      </w:pPr>
    </w:p>
    <w:p w14:paraId="413E6F19" w14:textId="77777777" w:rsidR="00565F28" w:rsidRPr="00C4677F" w:rsidRDefault="00565F28" w:rsidP="00565F28">
      <w:pPr>
        <w:jc w:val="both"/>
        <w:outlineLvl w:val="0"/>
      </w:pPr>
      <w:r w:rsidRPr="00C4677F">
        <w:t xml:space="preserve">Este rubro asciende a un importe de </w:t>
      </w:r>
      <w:r>
        <w:t>70</w:t>
      </w:r>
      <w:r w:rsidRPr="00C4677F">
        <w:rPr>
          <w:rFonts w:eastAsia="Arial"/>
        </w:rPr>
        <w:t xml:space="preserve"> mil </w:t>
      </w:r>
      <w:r>
        <w:rPr>
          <w:rFonts w:eastAsia="Arial"/>
        </w:rPr>
        <w:t>342.7</w:t>
      </w:r>
      <w:r w:rsidRPr="00C4677F">
        <w:rPr>
          <w:rFonts w:eastAsia="Arial"/>
        </w:rPr>
        <w:t xml:space="preserve"> </w:t>
      </w:r>
      <w:r w:rsidRPr="00C4677F">
        <w:t>millones de pesos.</w:t>
      </w:r>
    </w:p>
    <w:p w14:paraId="1338F584" w14:textId="77777777" w:rsidR="00565F28" w:rsidRPr="00C4677F" w:rsidRDefault="00565F28" w:rsidP="00565F28">
      <w:pPr>
        <w:jc w:val="both"/>
        <w:outlineLvl w:val="0"/>
      </w:pPr>
    </w:p>
    <w:p w14:paraId="0B2F7DDB" w14:textId="77777777" w:rsidR="00565F28" w:rsidRPr="00C4677F" w:rsidRDefault="00565F28" w:rsidP="00565F28">
      <w:pPr>
        <w:jc w:val="both"/>
        <w:outlineLvl w:val="0"/>
      </w:pPr>
      <w:r w:rsidRPr="00C4677F">
        <w:t>A continuación, se presenta la conciliación entre los ingresos presupuestarios y contables, así como, entre los egresos presupuestarios y los gastos contables:</w:t>
      </w:r>
    </w:p>
    <w:p w14:paraId="37FBF72D" w14:textId="77777777" w:rsidR="00565F28" w:rsidRDefault="00565F28" w:rsidP="00565F28">
      <w:pPr>
        <w:jc w:val="both"/>
        <w:outlineLvl w:val="0"/>
      </w:pPr>
    </w:p>
    <w:p w14:paraId="5846512A" w14:textId="77777777" w:rsidR="00565F28" w:rsidRDefault="00565F28" w:rsidP="00565F28">
      <w:pPr>
        <w:jc w:val="center"/>
        <w:outlineLvl w:val="0"/>
      </w:pPr>
      <w:r w:rsidRPr="001E09A3">
        <w:rPr>
          <w:noProof/>
          <w:lang w:eastAsia="es-MX"/>
        </w:rPr>
        <w:drawing>
          <wp:inline distT="0" distB="0" distL="0" distR="0" wp14:anchorId="3082E9FC" wp14:editId="29574383">
            <wp:extent cx="6259830" cy="2613678"/>
            <wp:effectExtent l="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9830" cy="2613678"/>
                    </a:xfrm>
                    <a:prstGeom prst="rect">
                      <a:avLst/>
                    </a:prstGeom>
                    <a:noFill/>
                    <a:ln>
                      <a:noFill/>
                    </a:ln>
                  </pic:spPr>
                </pic:pic>
              </a:graphicData>
            </a:graphic>
          </wp:inline>
        </w:drawing>
      </w:r>
    </w:p>
    <w:p w14:paraId="1CA48D9B" w14:textId="77777777" w:rsidR="00565F28" w:rsidRDefault="00565F28" w:rsidP="00565F28">
      <w:pPr>
        <w:jc w:val="both"/>
        <w:outlineLvl w:val="0"/>
      </w:pPr>
    </w:p>
    <w:p w14:paraId="6FD92283" w14:textId="77777777" w:rsidR="00565F28" w:rsidRDefault="00565F28" w:rsidP="00565F28">
      <w:pPr>
        <w:jc w:val="both"/>
        <w:outlineLvl w:val="0"/>
      </w:pPr>
    </w:p>
    <w:p w14:paraId="780DE60F" w14:textId="77777777" w:rsidR="00565F28" w:rsidRDefault="00565F28" w:rsidP="00565F28">
      <w:pPr>
        <w:jc w:val="both"/>
        <w:outlineLvl w:val="0"/>
      </w:pPr>
    </w:p>
    <w:p w14:paraId="483FD1FF" w14:textId="77777777" w:rsidR="00565F28" w:rsidRDefault="00565F28" w:rsidP="00565F28">
      <w:pPr>
        <w:jc w:val="both"/>
        <w:outlineLvl w:val="0"/>
      </w:pPr>
    </w:p>
    <w:p w14:paraId="536809EA" w14:textId="77777777" w:rsidR="00565F28" w:rsidRPr="00C4677F" w:rsidRDefault="00565F28" w:rsidP="00565F28">
      <w:pPr>
        <w:jc w:val="center"/>
        <w:outlineLvl w:val="0"/>
      </w:pPr>
      <w:r w:rsidRPr="001E09A3">
        <w:rPr>
          <w:noProof/>
          <w:lang w:eastAsia="es-MX"/>
        </w:rPr>
        <w:lastRenderedPageBreak/>
        <w:drawing>
          <wp:inline distT="0" distB="0" distL="0" distR="0" wp14:anchorId="13C5BFB3" wp14:editId="2457F7F7">
            <wp:extent cx="6259830" cy="5097393"/>
            <wp:effectExtent l="0" t="0" r="762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9830" cy="5097393"/>
                    </a:xfrm>
                    <a:prstGeom prst="rect">
                      <a:avLst/>
                    </a:prstGeom>
                    <a:noFill/>
                    <a:ln>
                      <a:noFill/>
                    </a:ln>
                  </pic:spPr>
                </pic:pic>
              </a:graphicData>
            </a:graphic>
          </wp:inline>
        </w:drawing>
      </w:r>
    </w:p>
    <w:p w14:paraId="59512D86" w14:textId="77777777" w:rsidR="00565F28" w:rsidRPr="00C4677F" w:rsidRDefault="00565F28" w:rsidP="00565F28">
      <w:pPr>
        <w:jc w:val="both"/>
        <w:outlineLvl w:val="0"/>
      </w:pPr>
    </w:p>
    <w:p w14:paraId="7C4680A4" w14:textId="77777777" w:rsidR="00565F28" w:rsidRPr="00C4677F" w:rsidRDefault="00565F28" w:rsidP="00565F28">
      <w:pPr>
        <w:jc w:val="both"/>
        <w:outlineLvl w:val="0"/>
      </w:pPr>
    </w:p>
    <w:p w14:paraId="37C1FC8E" w14:textId="77777777" w:rsidR="00565F28" w:rsidRPr="00AA21FF" w:rsidRDefault="00565F28" w:rsidP="00565F28">
      <w:pPr>
        <w:jc w:val="both"/>
        <w:rPr>
          <w:b/>
          <w:bCs/>
          <w:caps/>
          <w:sz w:val="22"/>
        </w:rPr>
      </w:pPr>
      <w:r w:rsidRPr="00AA21FF">
        <w:rPr>
          <w:b/>
          <w:bCs/>
          <w:sz w:val="22"/>
        </w:rPr>
        <w:t>Al estado de variación en la hacienda pública</w:t>
      </w:r>
    </w:p>
    <w:p w14:paraId="2802997F" w14:textId="77777777" w:rsidR="00565F28" w:rsidRPr="000B74DF" w:rsidRDefault="00565F28" w:rsidP="00565F28">
      <w:pPr>
        <w:jc w:val="both"/>
        <w:outlineLvl w:val="0"/>
      </w:pPr>
    </w:p>
    <w:p w14:paraId="06C762AD" w14:textId="77777777" w:rsidR="00565F28" w:rsidRPr="00C4677F" w:rsidRDefault="00565F28" w:rsidP="00565F28">
      <w:pPr>
        <w:jc w:val="both"/>
        <w:outlineLvl w:val="0"/>
      </w:pPr>
      <w:r>
        <w:t>La hacienda p</w:t>
      </w:r>
      <w:r w:rsidRPr="00C4677F">
        <w:t>ública representa el importe de los bienes y derechos que son pro</w:t>
      </w:r>
      <w:r>
        <w:t>piedad del Poder Ejecutivo del e</w:t>
      </w:r>
      <w:r w:rsidRPr="00C4677F">
        <w:t xml:space="preserve">stado de Chiapas, dicho importe es modificado principalmente por el resultado positivo obtenido </w:t>
      </w:r>
      <w:r>
        <w:t>a</w:t>
      </w:r>
      <w:r w:rsidRPr="000B74DF">
        <w:t>l 3</w:t>
      </w:r>
      <w:r>
        <w:t>1</w:t>
      </w:r>
      <w:r w:rsidRPr="000B74DF">
        <w:t xml:space="preserve"> de </w:t>
      </w:r>
      <w:r>
        <w:t xml:space="preserve">diciembre </w:t>
      </w:r>
      <w:r w:rsidRPr="00C4677F">
        <w:t xml:space="preserve">de </w:t>
      </w:r>
      <w:r>
        <w:t>2022</w:t>
      </w:r>
      <w:r w:rsidRPr="00C4677F">
        <w:t xml:space="preserve">, el cual asciende a </w:t>
      </w:r>
      <w:r>
        <w:t>46</w:t>
      </w:r>
      <w:r w:rsidRPr="00C4677F">
        <w:t xml:space="preserve"> mil </w:t>
      </w:r>
      <w:r>
        <w:t xml:space="preserve">849.2 </w:t>
      </w:r>
      <w:r w:rsidRPr="00C4677F">
        <w:t xml:space="preserve">millones de pesos. Las variaciones la disponibilidad para la continuidad de obras en proceso, de la misma manera, es afectado por el resultado derivado del registro de operaciones de ejercicios anteriores por reintegros, </w:t>
      </w:r>
      <w:r w:rsidRPr="00E83425">
        <w:t xml:space="preserve">devoluciones, </w:t>
      </w:r>
      <w:r>
        <w:t>depuración y regularización de saldos, así como,</w:t>
      </w:r>
      <w:r w:rsidRPr="00E83425">
        <w:t xml:space="preserve"> </w:t>
      </w:r>
      <w:r>
        <w:t xml:space="preserve">gastos de </w:t>
      </w:r>
      <w:r w:rsidRPr="00E83425">
        <w:t>fideicomisos no recuperables;</w:t>
      </w:r>
      <w:r>
        <w:t xml:space="preserve"> a la fecha, la hacienda p</w:t>
      </w:r>
      <w:r w:rsidRPr="00C4677F">
        <w:t xml:space="preserve">ública refleja un saldo de </w:t>
      </w:r>
      <w:r>
        <w:t>47</w:t>
      </w:r>
      <w:r w:rsidRPr="00C4677F">
        <w:t xml:space="preserve"> mil </w:t>
      </w:r>
      <w:r>
        <w:t>810.5</w:t>
      </w:r>
      <w:r w:rsidRPr="00C4677F">
        <w:t xml:space="preserve"> millones de pesos.</w:t>
      </w:r>
    </w:p>
    <w:p w14:paraId="2A21298B" w14:textId="77777777" w:rsidR="00565F28" w:rsidRPr="00C4677F" w:rsidRDefault="00565F28" w:rsidP="00565F28">
      <w:pPr>
        <w:jc w:val="both"/>
        <w:outlineLvl w:val="0"/>
      </w:pPr>
    </w:p>
    <w:p w14:paraId="554370CB" w14:textId="77777777" w:rsidR="00565F28" w:rsidRDefault="00565F28" w:rsidP="00565F28">
      <w:pPr>
        <w:jc w:val="both"/>
        <w:outlineLvl w:val="0"/>
      </w:pPr>
      <w:r w:rsidRPr="00C4677F">
        <w:t xml:space="preserve">Así también, es modificado por el aumento o disminución al patrimonio, derivado del registro de los incrementos o decrementos realizados al patrimonio. A la fecha que se informa la modificación neta </w:t>
      </w:r>
      <w:r>
        <w:t>positiva</w:t>
      </w:r>
      <w:r w:rsidRPr="00C4677F">
        <w:t xml:space="preserve"> al patrimonio es de </w:t>
      </w:r>
      <w:r>
        <w:t xml:space="preserve">6 mil 481.7 </w:t>
      </w:r>
      <w:r w:rsidRPr="00C4677F">
        <w:t>millones de pesos.</w:t>
      </w:r>
    </w:p>
    <w:p w14:paraId="174AF789" w14:textId="31836AAC" w:rsidR="00565F28" w:rsidRDefault="00565F28" w:rsidP="00565F28">
      <w:pPr>
        <w:jc w:val="both"/>
        <w:rPr>
          <w:b/>
          <w:bCs/>
          <w:caps/>
        </w:rPr>
      </w:pPr>
    </w:p>
    <w:p w14:paraId="19A009C0" w14:textId="77777777" w:rsidR="00565F28" w:rsidRPr="000B74DF" w:rsidRDefault="00565F28" w:rsidP="00565F28">
      <w:pPr>
        <w:jc w:val="both"/>
        <w:rPr>
          <w:b/>
          <w:bCs/>
          <w:caps/>
        </w:rPr>
      </w:pPr>
    </w:p>
    <w:p w14:paraId="320709CD" w14:textId="77777777" w:rsidR="00565F28" w:rsidRPr="00AA21FF" w:rsidRDefault="00565F28" w:rsidP="00565F28">
      <w:pPr>
        <w:jc w:val="both"/>
        <w:rPr>
          <w:b/>
          <w:bCs/>
          <w:caps/>
          <w:sz w:val="22"/>
        </w:rPr>
      </w:pPr>
      <w:r w:rsidRPr="00AA21FF">
        <w:rPr>
          <w:b/>
          <w:bCs/>
          <w:sz w:val="22"/>
        </w:rPr>
        <w:t>Al estado de flujos de efectivo</w:t>
      </w:r>
    </w:p>
    <w:p w14:paraId="530FDECE" w14:textId="77777777" w:rsidR="00565F28" w:rsidRPr="000B74DF" w:rsidRDefault="00565F28" w:rsidP="00565F28">
      <w:pPr>
        <w:jc w:val="both"/>
        <w:outlineLvl w:val="0"/>
        <w:rPr>
          <w:highlight w:val="cyan"/>
        </w:rPr>
      </w:pPr>
    </w:p>
    <w:p w14:paraId="22E35CCE" w14:textId="77777777" w:rsidR="00565F28" w:rsidRPr="00C4677F" w:rsidRDefault="00565F28" w:rsidP="00565F28">
      <w:pPr>
        <w:tabs>
          <w:tab w:val="left" w:pos="6840"/>
        </w:tabs>
        <w:jc w:val="both"/>
        <w:outlineLvl w:val="0"/>
      </w:pPr>
      <w:r w:rsidRPr="00C4677F">
        <w:t>El estado de flujos de efectivo, muestra los flujos de efectivo del Poder Ejecutivo, conformado por los elementos básicos: origen y aplicación de los recursos.</w:t>
      </w:r>
    </w:p>
    <w:p w14:paraId="076C07C2" w14:textId="77777777" w:rsidR="00565F28" w:rsidRPr="00C4677F" w:rsidRDefault="00565F28" w:rsidP="00565F28">
      <w:pPr>
        <w:tabs>
          <w:tab w:val="left" w:pos="6840"/>
        </w:tabs>
        <w:jc w:val="both"/>
        <w:outlineLvl w:val="0"/>
      </w:pPr>
    </w:p>
    <w:p w14:paraId="56724470" w14:textId="77777777" w:rsidR="00565F28" w:rsidRDefault="00565F28" w:rsidP="00565F28">
      <w:pPr>
        <w:tabs>
          <w:tab w:val="left" w:pos="6840"/>
        </w:tabs>
        <w:jc w:val="both"/>
        <w:outlineLvl w:val="0"/>
      </w:pPr>
      <w:r>
        <w:t>El incremento neto</w:t>
      </w:r>
      <w:r w:rsidRPr="00C4677F">
        <w:t xml:space="preserve"> en el efectivo y equivalentes al efectivo </w:t>
      </w:r>
      <w:r>
        <w:t>a</w:t>
      </w:r>
      <w:r w:rsidRPr="000B74DF">
        <w:t>l 3</w:t>
      </w:r>
      <w:r>
        <w:t>1</w:t>
      </w:r>
      <w:r w:rsidRPr="000B74DF">
        <w:t xml:space="preserve"> de </w:t>
      </w:r>
      <w:r>
        <w:t>diciembre</w:t>
      </w:r>
      <w:r w:rsidRPr="000B74DF">
        <w:t xml:space="preserve"> </w:t>
      </w:r>
      <w:r w:rsidRPr="00C4677F">
        <w:t xml:space="preserve">de </w:t>
      </w:r>
      <w:r>
        <w:t>2022, tiene un saldo de 3</w:t>
      </w:r>
      <w:r w:rsidRPr="00C4677F">
        <w:t xml:space="preserve"> mil </w:t>
      </w:r>
      <w:r>
        <w:t>559.4</w:t>
      </w:r>
      <w:r w:rsidRPr="00C4677F">
        <w:t xml:space="preserve"> millones de pesos.</w:t>
      </w:r>
    </w:p>
    <w:p w14:paraId="78B867E8" w14:textId="77777777" w:rsidR="00565F28" w:rsidRPr="00C4677F" w:rsidRDefault="00565F28" w:rsidP="00565F28">
      <w:pPr>
        <w:tabs>
          <w:tab w:val="left" w:pos="6840"/>
        </w:tabs>
        <w:jc w:val="both"/>
        <w:outlineLvl w:val="0"/>
      </w:pPr>
    </w:p>
    <w:p w14:paraId="55772CB6" w14:textId="77777777" w:rsidR="00565F28" w:rsidRPr="000B74DF" w:rsidRDefault="00565F28" w:rsidP="00565F28">
      <w:pPr>
        <w:tabs>
          <w:tab w:val="left" w:pos="6840"/>
        </w:tabs>
        <w:jc w:val="both"/>
        <w:outlineLvl w:val="0"/>
        <w:rPr>
          <w:b/>
          <w:i/>
        </w:rPr>
      </w:pPr>
      <w:r w:rsidRPr="000B74DF">
        <w:rPr>
          <w:b/>
          <w:i/>
        </w:rPr>
        <w:lastRenderedPageBreak/>
        <w:t>Flujo de efectivo de las actividades de operación</w:t>
      </w:r>
    </w:p>
    <w:p w14:paraId="57FB1EA7" w14:textId="77777777" w:rsidR="00565F28" w:rsidRPr="00C4677F" w:rsidRDefault="00565F28" w:rsidP="00565F28">
      <w:pPr>
        <w:tabs>
          <w:tab w:val="left" w:pos="6840"/>
        </w:tabs>
        <w:outlineLvl w:val="0"/>
        <w:rPr>
          <w:b/>
          <w:i/>
        </w:rPr>
      </w:pPr>
    </w:p>
    <w:p w14:paraId="57D3D305" w14:textId="77777777" w:rsidR="00565F28" w:rsidRPr="00C4677F" w:rsidRDefault="00565F28" w:rsidP="00565F28">
      <w:pPr>
        <w:tabs>
          <w:tab w:val="left" w:pos="6840"/>
        </w:tabs>
        <w:jc w:val="both"/>
        <w:outlineLvl w:val="0"/>
      </w:pPr>
      <w:r w:rsidRPr="00C4677F">
        <w:t xml:space="preserve">Durante el periodo que se informa, el Poder Ejecutivo recibió ingresos de gestión por la cantidad de </w:t>
      </w:r>
      <w:r>
        <w:t>117</w:t>
      </w:r>
      <w:r w:rsidRPr="00C4677F">
        <w:t xml:space="preserve"> mil </w:t>
      </w:r>
      <w:r>
        <w:t>191.9</w:t>
      </w:r>
      <w:r w:rsidRPr="00C4677F">
        <w:t xml:space="preserve"> millones de pesos. El gasto de funcionamiento devengado por el periodo comprendido por el 1 de enero </w:t>
      </w:r>
      <w:r>
        <w:t>a</w:t>
      </w:r>
      <w:r w:rsidRPr="000B74DF">
        <w:t>l 3</w:t>
      </w:r>
      <w:r>
        <w:t>1</w:t>
      </w:r>
      <w:r w:rsidRPr="000B74DF">
        <w:t xml:space="preserve"> de </w:t>
      </w:r>
      <w:r>
        <w:t>diciembre</w:t>
      </w:r>
      <w:r w:rsidRPr="000B74DF">
        <w:t xml:space="preserve"> </w:t>
      </w:r>
      <w:r w:rsidRPr="00C4677F">
        <w:t xml:space="preserve">de </w:t>
      </w:r>
      <w:r>
        <w:t>2022</w:t>
      </w:r>
      <w:r w:rsidRPr="00C4677F">
        <w:t xml:space="preserve">, asciende a </w:t>
      </w:r>
      <w:r>
        <w:t>69</w:t>
      </w:r>
      <w:r w:rsidRPr="00C4677F">
        <w:t xml:space="preserve"> mil </w:t>
      </w:r>
      <w:r>
        <w:t>159.7</w:t>
      </w:r>
      <w:r w:rsidRPr="00C4677F">
        <w:t xml:space="preserve"> millones de pesos, el cual representa un flujo neto positivo por actividades de operación por un importe de </w:t>
      </w:r>
      <w:r>
        <w:t>48</w:t>
      </w:r>
      <w:r w:rsidRPr="00C4677F">
        <w:t xml:space="preserve"> mil </w:t>
      </w:r>
      <w:r>
        <w:t>32.2</w:t>
      </w:r>
      <w:r w:rsidRPr="00C4677F">
        <w:t xml:space="preserve"> millones de pesos.</w:t>
      </w:r>
    </w:p>
    <w:p w14:paraId="7453454C" w14:textId="77777777" w:rsidR="00565F28" w:rsidRPr="00C4677F" w:rsidRDefault="00565F28" w:rsidP="00565F28">
      <w:pPr>
        <w:tabs>
          <w:tab w:val="left" w:pos="6840"/>
        </w:tabs>
        <w:jc w:val="both"/>
        <w:outlineLvl w:val="0"/>
      </w:pPr>
    </w:p>
    <w:p w14:paraId="399676B0" w14:textId="77777777" w:rsidR="00565F28" w:rsidRPr="000B74DF" w:rsidRDefault="00565F28" w:rsidP="00565F28">
      <w:pPr>
        <w:tabs>
          <w:tab w:val="left" w:pos="6840"/>
        </w:tabs>
        <w:jc w:val="both"/>
        <w:outlineLvl w:val="0"/>
        <w:rPr>
          <w:b/>
          <w:i/>
        </w:rPr>
      </w:pPr>
      <w:r w:rsidRPr="000B74DF">
        <w:rPr>
          <w:b/>
          <w:i/>
        </w:rPr>
        <w:t>Flujo de efectivo de las actividades de inversión</w:t>
      </w:r>
    </w:p>
    <w:p w14:paraId="5C53FE00" w14:textId="77777777" w:rsidR="00565F28" w:rsidRPr="00C4677F" w:rsidRDefault="00565F28" w:rsidP="00565F28">
      <w:pPr>
        <w:tabs>
          <w:tab w:val="left" w:pos="6840"/>
        </w:tabs>
        <w:outlineLvl w:val="0"/>
        <w:rPr>
          <w:b/>
          <w:i/>
        </w:rPr>
      </w:pPr>
    </w:p>
    <w:p w14:paraId="1D442B75" w14:textId="77777777" w:rsidR="00565F28" w:rsidRPr="00C4677F" w:rsidRDefault="00565F28" w:rsidP="00565F28">
      <w:pPr>
        <w:tabs>
          <w:tab w:val="left" w:pos="6840"/>
        </w:tabs>
        <w:jc w:val="both"/>
        <w:outlineLvl w:val="0"/>
      </w:pPr>
      <w:r w:rsidRPr="00C4677F">
        <w:t xml:space="preserve">Durante el periodo que se informa, el Poder Ejecutivo reflejó ingresos de inversión por la cantidad de </w:t>
      </w:r>
      <w:r>
        <w:t>1</w:t>
      </w:r>
      <w:r w:rsidRPr="00C4677F">
        <w:t xml:space="preserve"> mil </w:t>
      </w:r>
      <w:r>
        <w:t xml:space="preserve">681.1 </w:t>
      </w:r>
      <w:r w:rsidRPr="00C4677F">
        <w:t>millones de pesos. El gasto de inversión devengado por el periodo c</w:t>
      </w:r>
      <w:r>
        <w:t>omprendido por el 1 de enero al</w:t>
      </w:r>
      <w:r w:rsidRPr="000B74DF">
        <w:t xml:space="preserve"> 3</w:t>
      </w:r>
      <w:r>
        <w:t>1</w:t>
      </w:r>
      <w:r w:rsidRPr="000B74DF">
        <w:t xml:space="preserve"> de </w:t>
      </w:r>
      <w:r>
        <w:t xml:space="preserve">diciembre </w:t>
      </w:r>
      <w:r w:rsidRPr="00C4677F">
        <w:t xml:space="preserve">de </w:t>
      </w:r>
      <w:r>
        <w:t>2022</w:t>
      </w:r>
      <w:r w:rsidRPr="00C4677F">
        <w:t xml:space="preserve">, asciende a </w:t>
      </w:r>
      <w:r>
        <w:t>43</w:t>
      </w:r>
      <w:r w:rsidRPr="00C4677F">
        <w:t xml:space="preserve"> mil </w:t>
      </w:r>
      <w:r>
        <w:t>992.3</w:t>
      </w:r>
      <w:r w:rsidRPr="00C4677F">
        <w:t xml:space="preserve"> millones de pesos, el cual refleja un flujo neto a la baja por actividades de inversión por un importe de </w:t>
      </w:r>
      <w:r>
        <w:t>42</w:t>
      </w:r>
      <w:r w:rsidRPr="00C4677F">
        <w:t xml:space="preserve"> mil </w:t>
      </w:r>
      <w:r>
        <w:t>311.2</w:t>
      </w:r>
      <w:r w:rsidRPr="00C4677F">
        <w:t xml:space="preserve"> millones de pesos.</w:t>
      </w:r>
    </w:p>
    <w:p w14:paraId="5B43D8BB" w14:textId="77777777" w:rsidR="00565F28" w:rsidRPr="00C4677F" w:rsidRDefault="00565F28" w:rsidP="00565F28">
      <w:pPr>
        <w:tabs>
          <w:tab w:val="left" w:pos="6840"/>
        </w:tabs>
        <w:jc w:val="both"/>
        <w:outlineLvl w:val="0"/>
      </w:pPr>
    </w:p>
    <w:p w14:paraId="54DE64BC" w14:textId="77777777" w:rsidR="00565F28" w:rsidRPr="000B74DF" w:rsidRDefault="00565F28" w:rsidP="00565F28">
      <w:pPr>
        <w:tabs>
          <w:tab w:val="left" w:pos="6840"/>
        </w:tabs>
        <w:jc w:val="both"/>
        <w:outlineLvl w:val="0"/>
        <w:rPr>
          <w:b/>
          <w:i/>
        </w:rPr>
      </w:pPr>
      <w:r w:rsidRPr="000B74DF">
        <w:rPr>
          <w:b/>
          <w:i/>
        </w:rPr>
        <w:t>Flujo de efectivo de las actividades de financiamiento</w:t>
      </w:r>
    </w:p>
    <w:p w14:paraId="72CB623A" w14:textId="77777777" w:rsidR="00565F28" w:rsidRPr="00C4677F" w:rsidRDefault="00565F28" w:rsidP="00565F28">
      <w:pPr>
        <w:tabs>
          <w:tab w:val="left" w:pos="6840"/>
        </w:tabs>
        <w:outlineLvl w:val="0"/>
        <w:rPr>
          <w:b/>
          <w:i/>
        </w:rPr>
      </w:pPr>
    </w:p>
    <w:p w14:paraId="7F84346A" w14:textId="77777777" w:rsidR="00565F28" w:rsidRPr="00C4677F" w:rsidRDefault="00565F28" w:rsidP="00565F28">
      <w:pPr>
        <w:tabs>
          <w:tab w:val="left" w:pos="6840"/>
        </w:tabs>
        <w:jc w:val="both"/>
        <w:outlineLvl w:val="0"/>
      </w:pPr>
      <w:r w:rsidRPr="00C4677F">
        <w:t>Durante el periodo que se informa, el Poder Ejecutivo reflejó actividades de financiamiento</w:t>
      </w:r>
      <w:r>
        <w:t xml:space="preserve"> a la baja</w:t>
      </w:r>
      <w:r w:rsidRPr="00C4677F">
        <w:t xml:space="preserve"> por la cantidad de </w:t>
      </w:r>
      <w:r>
        <w:t xml:space="preserve">153.6 </w:t>
      </w:r>
      <w:r w:rsidRPr="00C4677F">
        <w:t xml:space="preserve">millones de pesos. La aplicación por actividades de financiamiento por el periodo comprendido por el 1 de enero </w:t>
      </w:r>
      <w:r>
        <w:t>a</w:t>
      </w:r>
      <w:r w:rsidRPr="000B74DF">
        <w:t>l 3</w:t>
      </w:r>
      <w:r>
        <w:t>1</w:t>
      </w:r>
      <w:r w:rsidRPr="000B74DF">
        <w:t xml:space="preserve"> de </w:t>
      </w:r>
      <w:r>
        <w:t>diciembre</w:t>
      </w:r>
      <w:r w:rsidRPr="000B74DF">
        <w:t xml:space="preserve"> </w:t>
      </w:r>
      <w:r w:rsidRPr="00C4677F">
        <w:t xml:space="preserve">de </w:t>
      </w:r>
      <w:r>
        <w:t>2022, asciende a 2 mil 8.0</w:t>
      </w:r>
      <w:r w:rsidRPr="00C4677F">
        <w:t xml:space="preserve"> millones de pesos, el cual representa un flujo neto a la baja por actividades de financiamiento por un importe de </w:t>
      </w:r>
      <w:r>
        <w:t xml:space="preserve">2 mil 161.6 </w:t>
      </w:r>
      <w:r w:rsidRPr="00C4677F">
        <w:t>millones de pesos.</w:t>
      </w:r>
    </w:p>
    <w:p w14:paraId="0DDBD5B3" w14:textId="77777777" w:rsidR="00565F28" w:rsidRPr="00C4677F" w:rsidRDefault="00565F28" w:rsidP="00565F28">
      <w:pPr>
        <w:tabs>
          <w:tab w:val="left" w:pos="6840"/>
        </w:tabs>
        <w:jc w:val="both"/>
        <w:outlineLvl w:val="0"/>
      </w:pPr>
    </w:p>
    <w:p w14:paraId="45A1EC00" w14:textId="77777777" w:rsidR="00565F28" w:rsidRPr="00C4677F" w:rsidRDefault="00565F28" w:rsidP="00565F28">
      <w:pPr>
        <w:jc w:val="center"/>
        <w:outlineLvl w:val="0"/>
        <w:rPr>
          <w:b/>
          <w:bCs/>
        </w:rPr>
      </w:pPr>
      <w:r w:rsidRPr="001E09A3">
        <w:rPr>
          <w:noProof/>
          <w:lang w:eastAsia="es-MX"/>
        </w:rPr>
        <w:drawing>
          <wp:inline distT="0" distB="0" distL="0" distR="0" wp14:anchorId="5DD09293" wp14:editId="2593F50F">
            <wp:extent cx="6259830" cy="2027714"/>
            <wp:effectExtent l="0" t="0" r="762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9830" cy="2027714"/>
                    </a:xfrm>
                    <a:prstGeom prst="rect">
                      <a:avLst/>
                    </a:prstGeom>
                    <a:noFill/>
                    <a:ln>
                      <a:noFill/>
                    </a:ln>
                  </pic:spPr>
                </pic:pic>
              </a:graphicData>
            </a:graphic>
          </wp:inline>
        </w:drawing>
      </w:r>
    </w:p>
    <w:p w14:paraId="6FE789C6" w14:textId="77777777" w:rsidR="00565F28" w:rsidRDefault="00565F28" w:rsidP="00565F28">
      <w:pPr>
        <w:outlineLvl w:val="0"/>
        <w:rPr>
          <w:b/>
          <w:bCs/>
        </w:rPr>
      </w:pPr>
    </w:p>
    <w:p w14:paraId="209D5F9A" w14:textId="77777777" w:rsidR="00565F28" w:rsidRDefault="00565F28" w:rsidP="00565F28">
      <w:pPr>
        <w:jc w:val="both"/>
      </w:pPr>
    </w:p>
    <w:p w14:paraId="5069555C" w14:textId="77777777" w:rsidR="00565F28" w:rsidRDefault="00565F28" w:rsidP="00565F28">
      <w:pPr>
        <w:spacing w:after="160" w:line="259" w:lineRule="auto"/>
      </w:pPr>
      <w:r>
        <w:br w:type="page"/>
      </w:r>
    </w:p>
    <w:p w14:paraId="73FC9006" w14:textId="77777777" w:rsidR="00565F28" w:rsidRPr="00817293" w:rsidRDefault="00565F28" w:rsidP="00565F28">
      <w:pPr>
        <w:jc w:val="both"/>
      </w:pPr>
      <w:r>
        <w:lastRenderedPageBreak/>
        <w:t>A</w:t>
      </w:r>
      <w:r w:rsidRPr="00817293">
        <w:t xml:space="preserve"> continuación, se presenta la conciliación de</w:t>
      </w:r>
      <w:r>
        <w:t xml:space="preserve"> los</w:t>
      </w:r>
      <w:r w:rsidRPr="00817293">
        <w:t xml:space="preserve"> flujos de efectivo netos de las actividades de operación y </w:t>
      </w:r>
      <w:r>
        <w:t xml:space="preserve">saldos de resultados del ejercicio (ahorro/desahorro): </w:t>
      </w:r>
    </w:p>
    <w:p w14:paraId="3B2E1BB5" w14:textId="77777777" w:rsidR="00565F28" w:rsidRPr="00C4677F" w:rsidRDefault="00565F28" w:rsidP="00565F28">
      <w:pPr>
        <w:tabs>
          <w:tab w:val="left" w:pos="6840"/>
        </w:tabs>
        <w:jc w:val="both"/>
        <w:outlineLvl w:val="0"/>
      </w:pPr>
    </w:p>
    <w:p w14:paraId="72E9CD63" w14:textId="77777777" w:rsidR="00565F28" w:rsidRPr="00C4677F" w:rsidRDefault="00565F28" w:rsidP="00565F28">
      <w:pPr>
        <w:tabs>
          <w:tab w:val="left" w:pos="6840"/>
        </w:tabs>
        <w:jc w:val="center"/>
        <w:outlineLvl w:val="0"/>
      </w:pPr>
      <w:r w:rsidRPr="001E09A3">
        <w:rPr>
          <w:noProof/>
          <w:lang w:eastAsia="es-MX"/>
        </w:rPr>
        <w:drawing>
          <wp:inline distT="0" distB="0" distL="0" distR="0" wp14:anchorId="382D0A41" wp14:editId="32EF363B">
            <wp:extent cx="6259830" cy="2349758"/>
            <wp:effectExtent l="0" t="0" r="762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9830" cy="2349758"/>
                    </a:xfrm>
                    <a:prstGeom prst="rect">
                      <a:avLst/>
                    </a:prstGeom>
                    <a:noFill/>
                    <a:ln>
                      <a:noFill/>
                    </a:ln>
                  </pic:spPr>
                </pic:pic>
              </a:graphicData>
            </a:graphic>
          </wp:inline>
        </w:drawing>
      </w:r>
    </w:p>
    <w:p w14:paraId="0E79389E" w14:textId="77777777" w:rsidR="00565F28" w:rsidRPr="00C4677F" w:rsidRDefault="00565F28" w:rsidP="00565F28">
      <w:pPr>
        <w:tabs>
          <w:tab w:val="left" w:pos="6840"/>
        </w:tabs>
        <w:jc w:val="both"/>
        <w:outlineLvl w:val="0"/>
      </w:pPr>
    </w:p>
    <w:p w14:paraId="01D6B34B" w14:textId="77777777" w:rsidR="00565F28" w:rsidRPr="000B74DF" w:rsidRDefault="00565F28" w:rsidP="00565F28">
      <w:pPr>
        <w:jc w:val="both"/>
        <w:outlineLvl w:val="0"/>
      </w:pPr>
    </w:p>
    <w:p w14:paraId="24A8E631" w14:textId="77777777" w:rsidR="00565F28" w:rsidRPr="006C1A9F" w:rsidRDefault="00565F28" w:rsidP="00565F28">
      <w:pPr>
        <w:pStyle w:val="Ttulo2"/>
        <w:keepLines/>
        <w:spacing w:before="0" w:after="0"/>
        <w:jc w:val="both"/>
        <w:rPr>
          <w:rFonts w:eastAsiaTheme="majorEastAsia" w:cs="Arial"/>
          <w:bCs w:val="0"/>
          <w:i w:val="0"/>
          <w:iCs w:val="0"/>
          <w:sz w:val="24"/>
          <w:szCs w:val="26"/>
          <w:lang w:val="es-MX" w:eastAsia="es-MX"/>
        </w:rPr>
      </w:pPr>
      <w:r w:rsidRPr="006C1A9F">
        <w:rPr>
          <w:rFonts w:eastAsiaTheme="majorEastAsia" w:cs="Arial"/>
          <w:bCs w:val="0"/>
          <w:i w:val="0"/>
          <w:iCs w:val="0"/>
          <w:sz w:val="24"/>
          <w:szCs w:val="26"/>
          <w:lang w:val="es-MX" w:eastAsia="es-MX"/>
        </w:rPr>
        <w:t xml:space="preserve">Notas de memoria </w:t>
      </w:r>
    </w:p>
    <w:p w14:paraId="7E93A424" w14:textId="77777777" w:rsidR="00565F28" w:rsidRPr="000B74DF" w:rsidRDefault="00565F28" w:rsidP="00565F28">
      <w:pPr>
        <w:jc w:val="both"/>
        <w:outlineLvl w:val="0"/>
        <w:rPr>
          <w:bCs/>
        </w:rPr>
      </w:pPr>
    </w:p>
    <w:p w14:paraId="010CEEB8" w14:textId="77777777" w:rsidR="00565F28" w:rsidRPr="00C4677F" w:rsidRDefault="00565F28" w:rsidP="00565F28">
      <w:pPr>
        <w:jc w:val="both"/>
        <w:outlineLvl w:val="0"/>
        <w:rPr>
          <w:bCs/>
        </w:rPr>
      </w:pPr>
      <w:r w:rsidRPr="00C4677F">
        <w:rPr>
          <w:bCs/>
        </w:rPr>
        <w:t>Atendiendo a lo establecido en la Ley General de Contabilidad Gubernamental, para efectos del registro y control, el Consejo Nacional de Armonización Contable ha determinado cuentas de orden contables, mismas que se presentan en el plan de cuentas</w:t>
      </w:r>
      <w:r>
        <w:rPr>
          <w:bCs/>
        </w:rPr>
        <w:t>.</w:t>
      </w:r>
    </w:p>
    <w:p w14:paraId="682EC336" w14:textId="77777777" w:rsidR="00565F28" w:rsidRPr="00C4677F" w:rsidRDefault="00565F28" w:rsidP="00565F28">
      <w:pPr>
        <w:jc w:val="both"/>
        <w:outlineLvl w:val="0"/>
        <w:rPr>
          <w:bCs/>
        </w:rPr>
      </w:pPr>
    </w:p>
    <w:p w14:paraId="6503DB90" w14:textId="77777777" w:rsidR="00565F28" w:rsidRPr="00C4677F" w:rsidRDefault="00565F28" w:rsidP="00565F28">
      <w:pPr>
        <w:jc w:val="both"/>
        <w:outlineLvl w:val="0"/>
        <w:rPr>
          <w:bCs/>
        </w:rPr>
      </w:pPr>
      <w:r w:rsidRPr="00C4677F">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600B0CA9" w14:textId="77777777" w:rsidR="00565F28" w:rsidRPr="00C4677F" w:rsidRDefault="00565F28" w:rsidP="00565F28">
      <w:pPr>
        <w:jc w:val="both"/>
        <w:outlineLvl w:val="0"/>
        <w:rPr>
          <w:b/>
          <w:bCs/>
        </w:rPr>
      </w:pPr>
    </w:p>
    <w:p w14:paraId="2963BADD" w14:textId="77777777" w:rsidR="00565F28" w:rsidRPr="00437956" w:rsidRDefault="00565F28" w:rsidP="00565F28">
      <w:pPr>
        <w:jc w:val="both"/>
        <w:rPr>
          <w:b/>
          <w:bCs/>
          <w:caps/>
          <w:sz w:val="22"/>
        </w:rPr>
      </w:pPr>
      <w:r w:rsidRPr="00437956">
        <w:rPr>
          <w:b/>
          <w:bCs/>
          <w:sz w:val="22"/>
        </w:rPr>
        <w:t>Contables</w:t>
      </w:r>
    </w:p>
    <w:p w14:paraId="72047F55" w14:textId="77777777" w:rsidR="00565F28" w:rsidRPr="000B74DF" w:rsidRDefault="00565F28" w:rsidP="00565F28">
      <w:pPr>
        <w:jc w:val="both"/>
        <w:outlineLvl w:val="0"/>
        <w:rPr>
          <w:b/>
          <w:bCs/>
        </w:rPr>
      </w:pPr>
    </w:p>
    <w:p w14:paraId="3195D1EC" w14:textId="77777777" w:rsidR="00565F28" w:rsidRPr="006C1A9F" w:rsidRDefault="00565F28" w:rsidP="00565F28">
      <w:pPr>
        <w:jc w:val="both"/>
        <w:outlineLvl w:val="0"/>
        <w:rPr>
          <w:b/>
          <w:bCs/>
          <w:iCs w:val="0"/>
        </w:rPr>
      </w:pPr>
      <w:r w:rsidRPr="006C1A9F">
        <w:rPr>
          <w:b/>
          <w:bCs/>
        </w:rPr>
        <w:t xml:space="preserve">Emisión de obligaciones </w:t>
      </w:r>
    </w:p>
    <w:p w14:paraId="5BA30FE4" w14:textId="77777777" w:rsidR="00565F28" w:rsidRPr="000B74DF" w:rsidRDefault="00565F28" w:rsidP="00565F28">
      <w:pPr>
        <w:autoSpaceDE w:val="0"/>
        <w:autoSpaceDN w:val="0"/>
        <w:adjustRightInd w:val="0"/>
        <w:jc w:val="both"/>
      </w:pPr>
    </w:p>
    <w:p w14:paraId="19A590C5" w14:textId="77777777" w:rsidR="00565F28" w:rsidRPr="00C4677F" w:rsidRDefault="00565F28" w:rsidP="00565F28">
      <w:pPr>
        <w:autoSpaceDE w:val="0"/>
        <w:autoSpaceDN w:val="0"/>
        <w:adjustRightInd w:val="0"/>
        <w:jc w:val="both"/>
      </w:pPr>
      <w:r>
        <w:t>A</w:t>
      </w:r>
      <w:r w:rsidRPr="000B74DF">
        <w:t>l 3</w:t>
      </w:r>
      <w:r>
        <w:t>1</w:t>
      </w:r>
      <w:r w:rsidRPr="000B74DF">
        <w:t xml:space="preserve"> de </w:t>
      </w:r>
      <w:r>
        <w:t>diciembre</w:t>
      </w:r>
      <w:r w:rsidRPr="000B74DF">
        <w:t xml:space="preserve"> </w:t>
      </w:r>
      <w:r w:rsidRPr="00C4677F">
        <w:t xml:space="preserve">de </w:t>
      </w:r>
      <w:r>
        <w:t>2022, l</w:t>
      </w:r>
      <w:r w:rsidRPr="00C4677F">
        <w:t>o</w:t>
      </w:r>
      <w:r>
        <w:t>s</w:t>
      </w:r>
      <w:r w:rsidRPr="00C4677F">
        <w:t xml:space="preserve"> registros originados por la colocación de certificados bursátiles derivado de l</w:t>
      </w:r>
      <w:r>
        <w:t>a bursatilización del Impuesto S</w:t>
      </w:r>
      <w:r w:rsidRPr="00C4677F">
        <w:t>obre Nóminas refleja</w:t>
      </w:r>
      <w:r>
        <w:t>n</w:t>
      </w:r>
      <w:r w:rsidRPr="00C4677F">
        <w:t xml:space="preserve"> un importe de </w:t>
      </w:r>
      <w:r>
        <w:t>6 mil 740.9</w:t>
      </w:r>
      <w:r w:rsidRPr="008876FF">
        <w:t xml:space="preserve"> </w:t>
      </w:r>
      <w:r w:rsidRPr="00C4677F">
        <w:t>millones de pesos, dicho importe se integra por la inversión inicial, y el registro derivado del efecto inflacio</w:t>
      </w:r>
      <w:r>
        <w:t xml:space="preserve">nario en el valor de las </w:t>
      </w:r>
      <w:proofErr w:type="spellStart"/>
      <w:r>
        <w:t>UDI`s</w:t>
      </w:r>
      <w:proofErr w:type="spellEnd"/>
      <w:r>
        <w:t>.</w:t>
      </w:r>
      <w:r w:rsidRPr="00C4677F">
        <w:t xml:space="preserve"> </w:t>
      </w:r>
    </w:p>
    <w:p w14:paraId="7FAFA177" w14:textId="77777777" w:rsidR="00565F28" w:rsidRPr="00C4677F" w:rsidRDefault="00565F28" w:rsidP="00565F28">
      <w:pPr>
        <w:autoSpaceDE w:val="0"/>
        <w:autoSpaceDN w:val="0"/>
        <w:adjustRightInd w:val="0"/>
        <w:jc w:val="both"/>
      </w:pPr>
    </w:p>
    <w:p w14:paraId="0FD25283" w14:textId="77777777" w:rsidR="00565F28" w:rsidRPr="00C4677F" w:rsidRDefault="00565F28" w:rsidP="00565F28">
      <w:pPr>
        <w:autoSpaceDE w:val="0"/>
        <w:autoSpaceDN w:val="0"/>
        <w:adjustRightInd w:val="0"/>
        <w:jc w:val="center"/>
      </w:pPr>
      <w:r w:rsidRPr="00FA61EC">
        <w:rPr>
          <w:noProof/>
          <w:lang w:eastAsia="es-MX"/>
        </w:rPr>
        <w:drawing>
          <wp:inline distT="0" distB="0" distL="0" distR="0" wp14:anchorId="1E004E60" wp14:editId="0CCB83A8">
            <wp:extent cx="6259830" cy="1832145"/>
            <wp:effectExtent l="0" t="0" r="762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59830" cy="1832145"/>
                    </a:xfrm>
                    <a:prstGeom prst="rect">
                      <a:avLst/>
                    </a:prstGeom>
                    <a:noFill/>
                    <a:ln>
                      <a:noFill/>
                    </a:ln>
                  </pic:spPr>
                </pic:pic>
              </a:graphicData>
            </a:graphic>
          </wp:inline>
        </w:drawing>
      </w:r>
    </w:p>
    <w:p w14:paraId="12B41DDF" w14:textId="77777777" w:rsidR="00565F28" w:rsidRPr="00C4677F" w:rsidRDefault="00565F28" w:rsidP="00565F28">
      <w:pPr>
        <w:jc w:val="both"/>
        <w:rPr>
          <w:b/>
          <w:bCs/>
          <w:caps/>
        </w:rPr>
      </w:pPr>
    </w:p>
    <w:p w14:paraId="22EAA2EB" w14:textId="77777777" w:rsidR="00565F28" w:rsidRDefault="00565F28" w:rsidP="00565F28">
      <w:pPr>
        <w:jc w:val="both"/>
        <w:rPr>
          <w:b/>
          <w:bCs/>
          <w:caps/>
        </w:rPr>
      </w:pPr>
    </w:p>
    <w:p w14:paraId="1E9C1AE8" w14:textId="77777777" w:rsidR="00565F28" w:rsidRDefault="00565F28">
      <w:pPr>
        <w:rPr>
          <w:b/>
          <w:bCs/>
          <w:sz w:val="22"/>
        </w:rPr>
      </w:pPr>
      <w:r>
        <w:rPr>
          <w:b/>
          <w:bCs/>
          <w:sz w:val="22"/>
        </w:rPr>
        <w:br w:type="page"/>
      </w:r>
    </w:p>
    <w:p w14:paraId="1E78DFF9" w14:textId="2BA2C63F" w:rsidR="00565F28" w:rsidRPr="0038529F" w:rsidRDefault="00565F28" w:rsidP="00565F28">
      <w:pPr>
        <w:jc w:val="both"/>
        <w:rPr>
          <w:b/>
          <w:bCs/>
          <w:sz w:val="22"/>
        </w:rPr>
      </w:pPr>
      <w:r w:rsidRPr="0038529F">
        <w:rPr>
          <w:b/>
          <w:bCs/>
          <w:sz w:val="22"/>
        </w:rPr>
        <w:lastRenderedPageBreak/>
        <w:t>Presupuestarias</w:t>
      </w:r>
    </w:p>
    <w:p w14:paraId="1E351BB1" w14:textId="77777777" w:rsidR="00565F28" w:rsidRPr="000B74DF" w:rsidRDefault="00565F28" w:rsidP="00565F28">
      <w:pPr>
        <w:jc w:val="both"/>
        <w:outlineLvl w:val="0"/>
        <w:rPr>
          <w:b/>
          <w:bCs/>
          <w:i/>
          <w:iCs w:val="0"/>
        </w:rPr>
      </w:pPr>
    </w:p>
    <w:p w14:paraId="76740CAB" w14:textId="77777777" w:rsidR="00565F28" w:rsidRPr="006C1A9F" w:rsidRDefault="00565F28" w:rsidP="00565F28">
      <w:pPr>
        <w:jc w:val="both"/>
        <w:outlineLvl w:val="0"/>
        <w:rPr>
          <w:b/>
          <w:bCs/>
          <w:iCs w:val="0"/>
        </w:rPr>
      </w:pPr>
      <w:r w:rsidRPr="006C1A9F">
        <w:rPr>
          <w:b/>
          <w:bCs/>
        </w:rPr>
        <w:t xml:space="preserve">Estado analítico de ingresos presupuestarios </w:t>
      </w:r>
    </w:p>
    <w:p w14:paraId="5D17053D" w14:textId="77777777" w:rsidR="00565F28" w:rsidRPr="000B74DF" w:rsidRDefault="00565F28" w:rsidP="00565F28">
      <w:pPr>
        <w:jc w:val="both"/>
        <w:outlineLvl w:val="0"/>
      </w:pPr>
    </w:p>
    <w:p w14:paraId="5730DE95" w14:textId="77777777" w:rsidR="00565F28" w:rsidRDefault="00565F28" w:rsidP="00565F28">
      <w:pPr>
        <w:jc w:val="both"/>
        <w:outlineLvl w:val="0"/>
      </w:pPr>
      <w:r w:rsidRPr="008876FF">
        <w:t xml:space="preserve">Al inicio del ejercicio </w:t>
      </w:r>
      <w:r>
        <w:t>2022</w:t>
      </w:r>
      <w:r w:rsidRPr="008876FF">
        <w:t xml:space="preserve">, se aprobó </w:t>
      </w:r>
      <w:r>
        <w:t>un presupuesto de ingresos de 104</w:t>
      </w:r>
      <w:r w:rsidRPr="008876FF">
        <w:t xml:space="preserve"> mil </w:t>
      </w:r>
      <w:r>
        <w:t>576.0</w:t>
      </w:r>
      <w:r w:rsidRPr="008876FF">
        <w:t xml:space="preserve"> millones de pesos, </w:t>
      </w:r>
      <w:r>
        <w:t>sin embargo, las estrategias implementadas para obtener mayores recursos, lograron un incremento</w:t>
      </w:r>
      <w:r w:rsidRPr="008876FF">
        <w:t xml:space="preserve"> </w:t>
      </w:r>
      <w:r>
        <w:t>de 12 mil 615.6</w:t>
      </w:r>
      <w:r w:rsidRPr="008876FF">
        <w:t xml:space="preserve"> </w:t>
      </w:r>
      <w:r w:rsidRPr="00B220F6">
        <w:t>millones</w:t>
      </w:r>
      <w:r w:rsidRPr="008876FF">
        <w:t xml:space="preserve"> de pesos al presupuesto estimado para el periodo que se informa.</w:t>
      </w:r>
    </w:p>
    <w:p w14:paraId="08D7E9C7" w14:textId="77777777" w:rsidR="00565F28" w:rsidRPr="00E720EA" w:rsidRDefault="00565F28" w:rsidP="00565F28">
      <w:pPr>
        <w:jc w:val="both"/>
        <w:outlineLvl w:val="0"/>
      </w:pPr>
    </w:p>
    <w:p w14:paraId="5E301D21" w14:textId="77777777" w:rsidR="00565F28" w:rsidRPr="008876FF" w:rsidRDefault="00565F28" w:rsidP="00565F28">
      <w:pPr>
        <w:jc w:val="both"/>
        <w:outlineLvl w:val="0"/>
      </w:pPr>
      <w:r w:rsidRPr="008876FF">
        <w:t xml:space="preserve">Los ingresos recaudados durante el periodo del 1 de enero </w:t>
      </w:r>
      <w:r>
        <w:t>a</w:t>
      </w:r>
      <w:r w:rsidRPr="000B74DF">
        <w:t>l 3</w:t>
      </w:r>
      <w:r>
        <w:t>1</w:t>
      </w:r>
      <w:r w:rsidRPr="000B74DF">
        <w:t xml:space="preserve"> de </w:t>
      </w:r>
      <w:r>
        <w:t>diciembre</w:t>
      </w:r>
      <w:r w:rsidRPr="000B74DF">
        <w:t xml:space="preserve"> </w:t>
      </w:r>
      <w:r w:rsidRPr="008876FF">
        <w:t xml:space="preserve">de </w:t>
      </w:r>
      <w:r>
        <w:t>2022</w:t>
      </w:r>
      <w:r w:rsidRPr="008876FF">
        <w:t>,</w:t>
      </w:r>
      <w:r>
        <w:t xml:space="preserve"> ascendieron a la cantidad de 117 mil 191.6</w:t>
      </w:r>
      <w:r w:rsidRPr="008876FF">
        <w:t xml:space="preserve"> millones de </w:t>
      </w:r>
      <w:r w:rsidRPr="00F14892">
        <w:t>pesos, representando</w:t>
      </w:r>
      <w:r>
        <w:t xml:space="preserve"> </w:t>
      </w:r>
      <w:r w:rsidRPr="00F14892">
        <w:t xml:space="preserve">el </w:t>
      </w:r>
      <w:r>
        <w:t>12.1 % mayor</w:t>
      </w:r>
      <w:r w:rsidRPr="00F14892">
        <w:t>, respecto</w:t>
      </w:r>
      <w:r w:rsidRPr="00B220F6">
        <w:t xml:space="preserve"> al programado </w:t>
      </w:r>
      <w:r w:rsidRPr="008876FF">
        <w:t xml:space="preserve">para el periodo que se informa. </w:t>
      </w:r>
    </w:p>
    <w:p w14:paraId="76DA70C6" w14:textId="77777777" w:rsidR="00565F28" w:rsidRPr="008876FF" w:rsidRDefault="00565F28" w:rsidP="00565F28">
      <w:pPr>
        <w:jc w:val="both"/>
        <w:outlineLvl w:val="0"/>
      </w:pPr>
    </w:p>
    <w:p w14:paraId="35254A73" w14:textId="77777777" w:rsidR="00565F28" w:rsidRPr="008876FF" w:rsidRDefault="00565F28" w:rsidP="00565F28">
      <w:pPr>
        <w:jc w:val="both"/>
        <w:outlineLvl w:val="0"/>
      </w:pPr>
      <w:r w:rsidRPr="008876FF">
        <w:t>Los ingresos derivado</w:t>
      </w:r>
      <w:r>
        <w:t>s de recursos provenientes del G</w:t>
      </w:r>
      <w:r w:rsidRPr="008876FF">
        <w:t>obi</w:t>
      </w:r>
      <w:r>
        <w:t xml:space="preserve">erno federal, representó el 94.7 % </w:t>
      </w:r>
      <w:r w:rsidRPr="008876FF">
        <w:t xml:space="preserve">del total de los ingresos </w:t>
      </w:r>
      <w:r>
        <w:t>recaudados, con un importe de 111</w:t>
      </w:r>
      <w:r w:rsidRPr="00455525">
        <w:t xml:space="preserve"> mil </w:t>
      </w:r>
      <w:r>
        <w:t>49.2</w:t>
      </w:r>
      <w:r w:rsidRPr="00455525">
        <w:t xml:space="preserve"> </w:t>
      </w:r>
      <w:r w:rsidRPr="008876FF">
        <w:t xml:space="preserve">millones de pesos, integrándose de </w:t>
      </w:r>
      <w:r>
        <w:t>100</w:t>
      </w:r>
      <w:r w:rsidRPr="00455525">
        <w:t xml:space="preserve"> mil </w:t>
      </w:r>
      <w:r>
        <w:t>236.5</w:t>
      </w:r>
      <w:r w:rsidRPr="00455525">
        <w:t xml:space="preserve"> </w:t>
      </w:r>
      <w:r w:rsidRPr="008876FF">
        <w:t>millones de pesos por participaciones, aportaciones, convenios, incentivos derivados de la colaboración fiscal y fondos distintos de aportaciones, y de</w:t>
      </w:r>
      <w:r>
        <w:t xml:space="preserve"> 10 mil 812.7</w:t>
      </w:r>
      <w:r w:rsidRPr="008876FF">
        <w:t xml:space="preserve"> millones de pesos por concepto de transferencias, asignaciones, subsidios y subvenciones, y pensiones y jubilaciones.</w:t>
      </w:r>
    </w:p>
    <w:p w14:paraId="72A5F49E" w14:textId="77777777" w:rsidR="00565F28" w:rsidRPr="008876FF" w:rsidRDefault="00565F28" w:rsidP="00565F28">
      <w:pPr>
        <w:jc w:val="both"/>
        <w:outlineLvl w:val="0"/>
      </w:pPr>
    </w:p>
    <w:p w14:paraId="63A63F3E" w14:textId="77777777" w:rsidR="00565F28" w:rsidRDefault="00565F28" w:rsidP="00565F28">
      <w:pPr>
        <w:jc w:val="both"/>
        <w:outlineLvl w:val="0"/>
      </w:pPr>
      <w:r>
        <w:t>A continuación, se presenta el estado de ingresos presupuestarios</w:t>
      </w:r>
      <w:r w:rsidRPr="008876FF">
        <w:t xml:space="preserve"> de acuerdo a la clasificación indicada </w:t>
      </w:r>
      <w:r>
        <w:t>en las notas de memoria de los estados f</w:t>
      </w:r>
      <w:r w:rsidRPr="008876FF">
        <w:t>inancieros emitido por el CONAC.</w:t>
      </w:r>
    </w:p>
    <w:p w14:paraId="7BD51273" w14:textId="77777777" w:rsidR="00565F28" w:rsidRPr="008876FF" w:rsidRDefault="00565F28" w:rsidP="00565F28">
      <w:pPr>
        <w:jc w:val="both"/>
        <w:outlineLvl w:val="0"/>
      </w:pPr>
    </w:p>
    <w:p w14:paraId="3831B951" w14:textId="77777777" w:rsidR="00565F28" w:rsidRPr="00C4677F" w:rsidRDefault="00565F28" w:rsidP="00565F28">
      <w:pPr>
        <w:jc w:val="center"/>
        <w:outlineLvl w:val="0"/>
      </w:pPr>
      <w:r w:rsidRPr="00FA61EC">
        <w:rPr>
          <w:noProof/>
          <w:lang w:eastAsia="es-MX"/>
        </w:rPr>
        <w:drawing>
          <wp:inline distT="0" distB="0" distL="0" distR="0" wp14:anchorId="76868225" wp14:editId="213BB589">
            <wp:extent cx="6259830" cy="2913466"/>
            <wp:effectExtent l="0" t="0" r="762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59830" cy="2913466"/>
                    </a:xfrm>
                    <a:prstGeom prst="rect">
                      <a:avLst/>
                    </a:prstGeom>
                    <a:noFill/>
                    <a:ln>
                      <a:noFill/>
                    </a:ln>
                  </pic:spPr>
                </pic:pic>
              </a:graphicData>
            </a:graphic>
          </wp:inline>
        </w:drawing>
      </w:r>
    </w:p>
    <w:p w14:paraId="669F35DC" w14:textId="77777777" w:rsidR="00565F28" w:rsidRDefault="00565F28" w:rsidP="00565F28">
      <w:pPr>
        <w:jc w:val="both"/>
        <w:outlineLvl w:val="0"/>
      </w:pPr>
    </w:p>
    <w:p w14:paraId="04E2262C" w14:textId="77777777" w:rsidR="00565F28" w:rsidRPr="00C4677F" w:rsidRDefault="00565F28" w:rsidP="00565F28">
      <w:pPr>
        <w:jc w:val="both"/>
        <w:outlineLvl w:val="0"/>
      </w:pPr>
    </w:p>
    <w:p w14:paraId="72DF1303" w14:textId="77777777" w:rsidR="00565F28" w:rsidRPr="00106647" w:rsidRDefault="00565F28" w:rsidP="00565F28">
      <w:pPr>
        <w:jc w:val="both"/>
        <w:outlineLvl w:val="0"/>
        <w:rPr>
          <w:b/>
          <w:bCs/>
        </w:rPr>
      </w:pPr>
      <w:r w:rsidRPr="00106647">
        <w:rPr>
          <w:b/>
          <w:bCs/>
        </w:rPr>
        <w:t>Estado del ejercicio del presupuesto</w:t>
      </w:r>
    </w:p>
    <w:p w14:paraId="72E960A9" w14:textId="77777777" w:rsidR="00565F28" w:rsidRPr="00C4677F" w:rsidRDefault="00565F28" w:rsidP="00565F28">
      <w:pPr>
        <w:jc w:val="both"/>
        <w:outlineLvl w:val="0"/>
      </w:pPr>
    </w:p>
    <w:p w14:paraId="7E2E15EC" w14:textId="77777777" w:rsidR="00565F28" w:rsidRPr="00C4677F" w:rsidRDefault="00565F28" w:rsidP="00565F28">
      <w:pPr>
        <w:jc w:val="both"/>
        <w:outlineLvl w:val="0"/>
      </w:pPr>
      <w:r w:rsidRPr="00C4677F">
        <w:t xml:space="preserve">El estado del ejercicio del presupuesto del Poder Ejecutivo, </w:t>
      </w:r>
      <w:r w:rsidRPr="008876FF">
        <w:t xml:space="preserve">refleja </w:t>
      </w:r>
      <w:r>
        <w:t>a</w:t>
      </w:r>
      <w:r w:rsidRPr="000B74DF">
        <w:t>l 3</w:t>
      </w:r>
      <w:r>
        <w:t>1</w:t>
      </w:r>
      <w:r w:rsidRPr="000B74DF">
        <w:t xml:space="preserve"> de </w:t>
      </w:r>
      <w:r>
        <w:t>diciembre</w:t>
      </w:r>
      <w:r w:rsidRPr="000B74DF">
        <w:t xml:space="preserve"> </w:t>
      </w:r>
      <w:r w:rsidRPr="008876FF">
        <w:t xml:space="preserve">de </w:t>
      </w:r>
      <w:r>
        <w:t>2022</w:t>
      </w:r>
      <w:r w:rsidRPr="008876FF">
        <w:t xml:space="preserve">, una modificación neta </w:t>
      </w:r>
      <w:r>
        <w:t>positiva</w:t>
      </w:r>
      <w:r w:rsidRPr="00C4677F">
        <w:t xml:space="preserve"> al presupuesto aprobado anual de </w:t>
      </w:r>
      <w:r>
        <w:t>3 mil 236.5 millones de pesos, llegando a un monto de 80</w:t>
      </w:r>
      <w:r w:rsidRPr="00C4677F">
        <w:t xml:space="preserve"> mil </w:t>
      </w:r>
      <w:r>
        <w:t>82.8</w:t>
      </w:r>
      <w:r w:rsidRPr="00C4677F">
        <w:t xml:space="preserve"> millones de pesos</w:t>
      </w:r>
      <w:r>
        <w:t>.</w:t>
      </w:r>
    </w:p>
    <w:p w14:paraId="490BF98B" w14:textId="77777777" w:rsidR="00565F28" w:rsidRPr="00C4677F" w:rsidRDefault="00565F28" w:rsidP="00565F28">
      <w:pPr>
        <w:jc w:val="both"/>
        <w:outlineLvl w:val="0"/>
      </w:pPr>
    </w:p>
    <w:p w14:paraId="6B71183E" w14:textId="77777777" w:rsidR="00565F28" w:rsidRDefault="00565F28" w:rsidP="00565F28">
      <w:pPr>
        <w:jc w:val="both"/>
      </w:pPr>
      <w:r w:rsidRPr="008876FF">
        <w:t>El presupuesto devengado a l</w:t>
      </w:r>
      <w:r>
        <w:t>a fecha que se informa fue de 72 mil 912.6</w:t>
      </w:r>
      <w:r w:rsidRPr="008876FF">
        <w:t xml:space="preserve"> millones de peso</w:t>
      </w:r>
      <w:r>
        <w:t>s, de los cuales se aplicaron  35</w:t>
      </w:r>
      <w:r w:rsidRPr="008876FF">
        <w:t xml:space="preserve"> mil </w:t>
      </w:r>
      <w:r>
        <w:t>52.6</w:t>
      </w:r>
      <w:r w:rsidRPr="008876FF">
        <w:t xml:space="preserve"> millones de pesos para servicios personales</w:t>
      </w:r>
      <w:r>
        <w:t>, equivalente al 48.1 %</w:t>
      </w:r>
      <w:r w:rsidRPr="008876FF">
        <w:t xml:space="preserve"> del devengo total;</w:t>
      </w:r>
      <w:r>
        <w:t xml:space="preserve"> 26</w:t>
      </w:r>
      <w:r w:rsidRPr="008876FF">
        <w:t xml:space="preserve"> mil </w:t>
      </w:r>
      <w:r>
        <w:t>137.1</w:t>
      </w:r>
      <w:r w:rsidRPr="008876FF">
        <w:t xml:space="preserve"> millones de pesos a participaciones y a</w:t>
      </w:r>
      <w:r>
        <w:t>portaciones</w:t>
      </w:r>
      <w:r w:rsidRPr="008876FF">
        <w:t xml:space="preserve">, que equivale al </w:t>
      </w:r>
      <w:r>
        <w:t xml:space="preserve">35.8 % del devengado total; </w:t>
      </w:r>
      <w:r w:rsidRPr="008876FF">
        <w:t>en transferencias, asignaciones, subsidios</w:t>
      </w:r>
      <w:r>
        <w:t xml:space="preserve"> y otras ayudas, se destinaron 2 mil 881.6 </w:t>
      </w:r>
      <w:r w:rsidRPr="008876FF">
        <w:t xml:space="preserve">millones de pesos, que representa el </w:t>
      </w:r>
      <w:r>
        <w:t>3.9 %</w:t>
      </w:r>
      <w:r w:rsidRPr="008876FF">
        <w:t xml:space="preserve"> del total devengado;</w:t>
      </w:r>
      <w:r>
        <w:t xml:space="preserve"> </w:t>
      </w:r>
      <w:r w:rsidRPr="00F46148">
        <w:t xml:space="preserve">en inversiones financieras y otras provisiones se aplicaron </w:t>
      </w:r>
      <w:r>
        <w:t>2 mil 147.6</w:t>
      </w:r>
      <w:r w:rsidRPr="00F46148">
        <w:t xml:space="preserve"> millones de pesos, que equivale al </w:t>
      </w:r>
      <w:r>
        <w:t>2.9 %</w:t>
      </w:r>
      <w:r w:rsidRPr="00F46148">
        <w:t xml:space="preserve"> del total devengado; </w:t>
      </w:r>
      <w:r>
        <w:t xml:space="preserve">en </w:t>
      </w:r>
      <w:r w:rsidRPr="009D26C8">
        <w:t xml:space="preserve">servicios generales, </w:t>
      </w:r>
      <w:r>
        <w:t>se destinaron 2 mil 7.8</w:t>
      </w:r>
      <w:r w:rsidRPr="009D26C8">
        <w:t xml:space="preserve"> millones de pesos</w:t>
      </w:r>
      <w:r>
        <w:t xml:space="preserve">, </w:t>
      </w:r>
      <w:r w:rsidRPr="009D26C8">
        <w:t xml:space="preserve">que </w:t>
      </w:r>
      <w:r>
        <w:t>representa el</w:t>
      </w:r>
      <w:r w:rsidRPr="009D26C8">
        <w:t xml:space="preserve"> </w:t>
      </w:r>
      <w:r>
        <w:t>2.8 %</w:t>
      </w:r>
      <w:r w:rsidRPr="009D26C8">
        <w:t xml:space="preserve"> del </w:t>
      </w:r>
      <w:r>
        <w:t>devengo total</w:t>
      </w:r>
      <w:r w:rsidRPr="009D26C8">
        <w:t>;</w:t>
      </w:r>
      <w:r>
        <w:t xml:space="preserve"> en inversión pública se aplicaron 1 mil 945.7 millones de pesos que equivale al 2.7 % del devengo total; 1 mil 426.4</w:t>
      </w:r>
      <w:r w:rsidRPr="00F46148">
        <w:t xml:space="preserve"> millones de pesos para deuda pública, </w:t>
      </w:r>
      <w:r>
        <w:t>equivalente</w:t>
      </w:r>
      <w:r w:rsidRPr="00F46148">
        <w:t xml:space="preserve"> al </w:t>
      </w:r>
      <w:r>
        <w:t>1.9 %</w:t>
      </w:r>
      <w:r w:rsidRPr="00F46148">
        <w:t xml:space="preserve"> del devengado total; </w:t>
      </w:r>
      <w:r w:rsidRPr="008876FF">
        <w:t>entre los rubros más sobresalientes.</w:t>
      </w:r>
    </w:p>
    <w:p w14:paraId="6CBBFF0D" w14:textId="77777777" w:rsidR="00565F28" w:rsidRDefault="00565F28" w:rsidP="00565F28"/>
    <w:p w14:paraId="033491BC" w14:textId="77777777" w:rsidR="00565F28" w:rsidRDefault="00565F28" w:rsidP="00565F28">
      <w:pPr>
        <w:jc w:val="both"/>
      </w:pPr>
      <w:r w:rsidRPr="004F438C">
        <w:rPr>
          <w:noProof/>
        </w:rPr>
        <w:lastRenderedPageBreak/>
        <w:drawing>
          <wp:inline distT="0" distB="0" distL="0" distR="0" wp14:anchorId="0AB0186C" wp14:editId="20A59DEF">
            <wp:extent cx="6259830" cy="2440042"/>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9830" cy="2440042"/>
                    </a:xfrm>
                    <a:prstGeom prst="rect">
                      <a:avLst/>
                    </a:prstGeom>
                    <a:noFill/>
                    <a:ln>
                      <a:noFill/>
                    </a:ln>
                  </pic:spPr>
                </pic:pic>
              </a:graphicData>
            </a:graphic>
          </wp:inline>
        </w:drawing>
      </w:r>
    </w:p>
    <w:p w14:paraId="12C77E17" w14:textId="77777777" w:rsidR="00565F28" w:rsidRDefault="00565F28" w:rsidP="00565F28">
      <w:pPr>
        <w:jc w:val="both"/>
      </w:pPr>
    </w:p>
    <w:p w14:paraId="0A3CF2F5" w14:textId="77777777" w:rsidR="00565F28" w:rsidRDefault="00565F28" w:rsidP="00565F28">
      <w:pPr>
        <w:pStyle w:val="Ttulo2"/>
        <w:keepLines/>
        <w:spacing w:before="0" w:after="0"/>
        <w:jc w:val="both"/>
        <w:rPr>
          <w:rFonts w:eastAsiaTheme="minorHAnsi" w:cs="Arial"/>
          <w:b w:val="0"/>
          <w:bCs w:val="0"/>
          <w:i w:val="0"/>
          <w:iCs w:val="0"/>
          <w:sz w:val="20"/>
          <w:szCs w:val="20"/>
          <w:lang w:val="es-MX" w:eastAsia="en-US"/>
        </w:rPr>
      </w:pPr>
    </w:p>
    <w:p w14:paraId="5F4146C4" w14:textId="77777777" w:rsidR="00565F28" w:rsidRPr="00106647" w:rsidRDefault="00565F28" w:rsidP="00565F28">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6644BC05" w14:textId="77777777" w:rsidR="00565F28" w:rsidRPr="000B74DF" w:rsidRDefault="00565F28" w:rsidP="00565F28">
      <w:pPr>
        <w:autoSpaceDE w:val="0"/>
        <w:autoSpaceDN w:val="0"/>
        <w:adjustRightInd w:val="0"/>
        <w:jc w:val="both"/>
        <w:outlineLvl w:val="0"/>
        <w:rPr>
          <w:b/>
          <w:bCs/>
        </w:rPr>
      </w:pPr>
    </w:p>
    <w:p w14:paraId="75EDFE74" w14:textId="77777777" w:rsidR="00565F28" w:rsidRPr="00C4677F" w:rsidRDefault="00565F28" w:rsidP="00565F28">
      <w:pPr>
        <w:autoSpaceDE w:val="0"/>
        <w:autoSpaceDN w:val="0"/>
        <w:adjustRightInd w:val="0"/>
        <w:jc w:val="both"/>
        <w:outlineLvl w:val="0"/>
      </w:pPr>
      <w:r w:rsidRPr="00C4677F">
        <w:t xml:space="preserve">Las notas de gestión administrativa consolidados del Poder Ejecutivo, se integran con la información de los </w:t>
      </w:r>
      <w:r>
        <w:t>entes</w:t>
      </w:r>
      <w:r w:rsidRPr="00C4677F">
        <w:t xml:space="preserve"> públicos y los centros contables que la conforma, mismas que podrán ser consultadas en la información de cada ente público.</w:t>
      </w:r>
    </w:p>
    <w:p w14:paraId="4647A4E5" w14:textId="77777777" w:rsidR="00565F28" w:rsidRPr="00C4677F" w:rsidRDefault="00565F28" w:rsidP="00565F28">
      <w:pPr>
        <w:autoSpaceDE w:val="0"/>
        <w:autoSpaceDN w:val="0"/>
        <w:adjustRightInd w:val="0"/>
        <w:jc w:val="both"/>
        <w:outlineLvl w:val="0"/>
      </w:pPr>
    </w:p>
    <w:p w14:paraId="458DCFAA" w14:textId="77777777" w:rsidR="00565F28" w:rsidRPr="00C4677F" w:rsidRDefault="00565F28" w:rsidP="00565F28">
      <w:pPr>
        <w:autoSpaceDE w:val="0"/>
        <w:autoSpaceDN w:val="0"/>
        <w:adjustRightInd w:val="0"/>
        <w:jc w:val="both"/>
        <w:outlineLvl w:val="0"/>
      </w:pPr>
    </w:p>
    <w:p w14:paraId="6C648ADE" w14:textId="77777777" w:rsidR="00565F28" w:rsidRDefault="00565F28" w:rsidP="00565F28">
      <w:pPr>
        <w:spacing w:after="160" w:line="259" w:lineRule="auto"/>
      </w:pPr>
      <w:r>
        <w:br w:type="page"/>
      </w:r>
    </w:p>
    <w:p w14:paraId="683045E1" w14:textId="77777777" w:rsidR="00565F28" w:rsidRPr="00106647" w:rsidRDefault="00565F28" w:rsidP="00565F28">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Razones financieras</w:t>
      </w:r>
    </w:p>
    <w:p w14:paraId="1EF5C3D9" w14:textId="77777777" w:rsidR="00565F28" w:rsidRPr="000B74DF" w:rsidRDefault="00565F28" w:rsidP="00565F28">
      <w:pPr>
        <w:tabs>
          <w:tab w:val="left" w:pos="5280"/>
        </w:tabs>
        <w:jc w:val="both"/>
      </w:pPr>
    </w:p>
    <w:p w14:paraId="55672004" w14:textId="77777777" w:rsidR="00565F28" w:rsidRPr="00102BC9" w:rsidRDefault="00565F28" w:rsidP="00565F28">
      <w:pPr>
        <w:pStyle w:val="Textoindependiente3"/>
        <w:rPr>
          <w:sz w:val="20"/>
          <w:szCs w:val="20"/>
        </w:rPr>
      </w:pPr>
      <w:r w:rsidRPr="00102BC9">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0441E87" w14:textId="77777777" w:rsidR="00565F28" w:rsidRPr="00102BC9" w:rsidRDefault="00565F28" w:rsidP="00565F28">
      <w:pPr>
        <w:tabs>
          <w:tab w:val="left" w:pos="5280"/>
        </w:tabs>
        <w:jc w:val="both"/>
      </w:pPr>
    </w:p>
    <w:p w14:paraId="00542286" w14:textId="77777777" w:rsidR="00565F28" w:rsidRPr="00102BC9" w:rsidRDefault="00565F28" w:rsidP="00565F28">
      <w:pPr>
        <w:tabs>
          <w:tab w:val="left" w:pos="5280"/>
        </w:tabs>
        <w:jc w:val="both"/>
      </w:pPr>
      <w:r w:rsidRPr="00102BC9">
        <w:t xml:space="preserve">A los resultados obtenidos </w:t>
      </w:r>
      <w:r>
        <w:t>a</w:t>
      </w:r>
      <w:r w:rsidRPr="000B74DF">
        <w:t>l 3</w:t>
      </w:r>
      <w:r>
        <w:t>1</w:t>
      </w:r>
      <w:r w:rsidRPr="000B74DF">
        <w:t xml:space="preserve"> de </w:t>
      </w:r>
      <w:r>
        <w:t>diciembre</w:t>
      </w:r>
      <w:r w:rsidRPr="000B74DF">
        <w:t xml:space="preserve"> </w:t>
      </w:r>
      <w:r w:rsidRPr="00102BC9">
        <w:t>de 2022, se aplicaron las siguientes razones financieras:</w:t>
      </w:r>
    </w:p>
    <w:p w14:paraId="36BD1D5C" w14:textId="77777777" w:rsidR="00565F28" w:rsidRPr="00C4677F" w:rsidRDefault="00565F28" w:rsidP="00565F28">
      <w:pPr>
        <w:tabs>
          <w:tab w:val="left" w:pos="5280"/>
        </w:tabs>
        <w:jc w:val="both"/>
        <w:rPr>
          <w:b/>
          <w:bCs/>
          <w:color w:val="000000" w:themeColor="text1"/>
        </w:rPr>
      </w:pPr>
    </w:p>
    <w:p w14:paraId="101C327C" w14:textId="77777777" w:rsidR="00565F28" w:rsidRPr="00C4677F" w:rsidRDefault="00565F28" w:rsidP="00565F28">
      <w:pPr>
        <w:tabs>
          <w:tab w:val="left" w:pos="5280"/>
        </w:tabs>
        <w:jc w:val="center"/>
      </w:pPr>
      <w:r w:rsidRPr="00FA61EC">
        <w:rPr>
          <w:noProof/>
          <w:lang w:eastAsia="es-MX"/>
        </w:rPr>
        <w:drawing>
          <wp:inline distT="0" distB="0" distL="0" distR="0" wp14:anchorId="0CA8A43B" wp14:editId="3CB12D12">
            <wp:extent cx="6259830" cy="2599378"/>
            <wp:effectExtent l="0" t="0" r="762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59830" cy="2599378"/>
                    </a:xfrm>
                    <a:prstGeom prst="rect">
                      <a:avLst/>
                    </a:prstGeom>
                    <a:noFill/>
                    <a:ln>
                      <a:noFill/>
                    </a:ln>
                  </pic:spPr>
                </pic:pic>
              </a:graphicData>
            </a:graphic>
          </wp:inline>
        </w:drawing>
      </w:r>
    </w:p>
    <w:p w14:paraId="24C97BAA" w14:textId="77777777" w:rsidR="00565F28" w:rsidRDefault="00565F28" w:rsidP="00565F28">
      <w:pPr>
        <w:tabs>
          <w:tab w:val="left" w:pos="5280"/>
        </w:tabs>
        <w:jc w:val="both"/>
      </w:pPr>
    </w:p>
    <w:p w14:paraId="609A0092" w14:textId="77777777" w:rsidR="00565F28" w:rsidRPr="00102BC9" w:rsidRDefault="00565F28" w:rsidP="00565F28">
      <w:pPr>
        <w:tabs>
          <w:tab w:val="left" w:pos="5280"/>
        </w:tabs>
        <w:jc w:val="both"/>
      </w:pPr>
      <w:r w:rsidRPr="00102BC9">
        <w:t xml:space="preserve">Los estados financieros del Poder Ejecutivo, muestran un resultado </w:t>
      </w:r>
      <w:r>
        <w:t>9.2</w:t>
      </w:r>
      <w:r w:rsidRPr="00102BC9">
        <w:t xml:space="preserve"> pesos de </w:t>
      </w:r>
      <w:r w:rsidRPr="00102BC9">
        <w:rPr>
          <w:b/>
          <w:bCs/>
        </w:rPr>
        <w:t>liquidez y disponibilidad inmediata</w:t>
      </w:r>
      <w:r w:rsidRPr="00102BC9">
        <w:t xml:space="preserve"> para hacer frente a cada peso de los compromisos de corto plazo.</w:t>
      </w:r>
    </w:p>
    <w:p w14:paraId="0F14DCC0" w14:textId="77777777" w:rsidR="00565F28" w:rsidRPr="00102BC9" w:rsidRDefault="00565F28" w:rsidP="00565F28">
      <w:pPr>
        <w:tabs>
          <w:tab w:val="left" w:pos="5280"/>
        </w:tabs>
        <w:jc w:val="both"/>
      </w:pPr>
    </w:p>
    <w:p w14:paraId="2E6560F5" w14:textId="77777777" w:rsidR="00565F28" w:rsidRPr="00102BC9" w:rsidRDefault="00565F28" w:rsidP="00565F28">
      <w:pPr>
        <w:tabs>
          <w:tab w:val="left" w:pos="5280"/>
        </w:tabs>
        <w:jc w:val="both"/>
      </w:pPr>
      <w:r w:rsidRPr="00102BC9">
        <w:t xml:space="preserve">La razón de </w:t>
      </w:r>
      <w:r w:rsidRPr="00102BC9">
        <w:rPr>
          <w:b/>
          <w:bCs/>
        </w:rPr>
        <w:t>solvencia</w:t>
      </w:r>
      <w:r w:rsidRPr="00102BC9">
        <w:rPr>
          <w:bCs/>
        </w:rPr>
        <w:t>,</w:t>
      </w:r>
      <w:r w:rsidRPr="00102BC9">
        <w:t xml:space="preserve"> muestra que el Poder Ejecutivo cuenta con </w:t>
      </w:r>
      <w:r>
        <w:t>9.3</w:t>
      </w:r>
      <w:r w:rsidRPr="00102BC9">
        <w:t xml:space="preserve"> pesos para cubrir cada peso que debe por sus compromisos a corto plazo.</w:t>
      </w:r>
    </w:p>
    <w:p w14:paraId="02455B1E" w14:textId="77777777" w:rsidR="00565F28" w:rsidRPr="00102BC9" w:rsidRDefault="00565F28" w:rsidP="00565F28">
      <w:pPr>
        <w:tabs>
          <w:tab w:val="left" w:pos="5280"/>
        </w:tabs>
        <w:jc w:val="both"/>
      </w:pPr>
    </w:p>
    <w:p w14:paraId="39C545A5" w14:textId="77777777" w:rsidR="00565F28" w:rsidRPr="00102BC9" w:rsidRDefault="00565F28" w:rsidP="00565F28">
      <w:pPr>
        <w:pStyle w:val="Textoindependiente3"/>
        <w:tabs>
          <w:tab w:val="left" w:pos="5280"/>
        </w:tabs>
        <w:rPr>
          <w:sz w:val="20"/>
          <w:szCs w:val="20"/>
        </w:rPr>
      </w:pPr>
      <w:r w:rsidRPr="00102BC9">
        <w:rPr>
          <w:sz w:val="20"/>
          <w:szCs w:val="20"/>
        </w:rPr>
        <w:t xml:space="preserve">La </w:t>
      </w:r>
      <w:r w:rsidRPr="00102BC9">
        <w:rPr>
          <w:b/>
          <w:bCs/>
          <w:sz w:val="20"/>
          <w:szCs w:val="20"/>
        </w:rPr>
        <w:t>prueba del ácido</w:t>
      </w:r>
      <w:r w:rsidRPr="00102BC9">
        <w:rPr>
          <w:bCs/>
          <w:sz w:val="20"/>
          <w:szCs w:val="20"/>
        </w:rPr>
        <w:t>,</w:t>
      </w:r>
      <w:r w:rsidRPr="00102BC9">
        <w:rPr>
          <w:sz w:val="20"/>
          <w:szCs w:val="20"/>
        </w:rPr>
        <w:t xml:space="preserve"> indica que el Poder Ejecutivo cuenta con </w:t>
      </w:r>
      <w:r>
        <w:rPr>
          <w:sz w:val="20"/>
          <w:szCs w:val="20"/>
        </w:rPr>
        <w:t>9.2</w:t>
      </w:r>
      <w:r w:rsidRPr="00102BC9">
        <w:rPr>
          <w:sz w:val="20"/>
          <w:szCs w:val="20"/>
        </w:rPr>
        <w:t xml:space="preserve"> pesos de activos de conversión inmediata en efectivo por cada peso de pasivos a corto plazo.</w:t>
      </w:r>
    </w:p>
    <w:p w14:paraId="600DAA2D" w14:textId="77777777" w:rsidR="00565F28" w:rsidRPr="00102BC9" w:rsidRDefault="00565F28" w:rsidP="00565F28">
      <w:pPr>
        <w:tabs>
          <w:tab w:val="left" w:pos="5280"/>
        </w:tabs>
        <w:jc w:val="both"/>
      </w:pPr>
    </w:p>
    <w:p w14:paraId="07466C06" w14:textId="77777777" w:rsidR="00565F28" w:rsidRPr="00102BC9" w:rsidRDefault="00565F28" w:rsidP="00565F28">
      <w:pPr>
        <w:tabs>
          <w:tab w:val="left" w:pos="5280"/>
        </w:tabs>
        <w:jc w:val="both"/>
      </w:pPr>
      <w:r w:rsidRPr="00102BC9">
        <w:t>La posición financiera que</w:t>
      </w:r>
      <w:r>
        <w:t xml:space="preserve"> guarda el Poder Ejecutivo del e</w:t>
      </w:r>
      <w:r w:rsidRPr="00102BC9">
        <w:t xml:space="preserve">stado de Chiapas, muestra los ingresos y egresos </w:t>
      </w:r>
      <w:r>
        <w:t>a</w:t>
      </w:r>
      <w:r w:rsidRPr="000B74DF">
        <w:t>l 3</w:t>
      </w:r>
      <w:r>
        <w:t>1</w:t>
      </w:r>
      <w:r w:rsidRPr="000B74DF">
        <w:t xml:space="preserve"> de </w:t>
      </w:r>
      <w:r>
        <w:t>diciembre</w:t>
      </w:r>
      <w:r w:rsidRPr="000B74DF">
        <w:t xml:space="preserve"> </w:t>
      </w:r>
      <w:r w:rsidRPr="00102BC9">
        <w:t>del ejercicio 2022, los saldos de los pasivos se han mantenido en niveles saludables y en equilibrio de la recaudación de los ingresos.</w:t>
      </w:r>
    </w:p>
    <w:p w14:paraId="33AAD655" w14:textId="77777777" w:rsidR="00565F28" w:rsidRPr="00102BC9" w:rsidRDefault="00565F28" w:rsidP="00565F28">
      <w:pPr>
        <w:pStyle w:val="Textoindependiente3"/>
        <w:tabs>
          <w:tab w:val="left" w:pos="5280"/>
        </w:tabs>
        <w:rPr>
          <w:sz w:val="20"/>
          <w:szCs w:val="20"/>
        </w:rPr>
      </w:pPr>
    </w:p>
    <w:p w14:paraId="3BED3E8A" w14:textId="77777777" w:rsidR="00565F28" w:rsidRPr="00102BC9" w:rsidRDefault="00565F28" w:rsidP="00565F28">
      <w:pPr>
        <w:pStyle w:val="Textoindependiente3"/>
        <w:tabs>
          <w:tab w:val="left" w:pos="5280"/>
        </w:tabs>
        <w:rPr>
          <w:sz w:val="20"/>
          <w:szCs w:val="20"/>
        </w:rPr>
      </w:pPr>
      <w:r w:rsidRPr="00102BC9">
        <w:rPr>
          <w:sz w:val="20"/>
          <w:szCs w:val="20"/>
        </w:rPr>
        <w:t>En conclusión, las obligaciones que se tienen a corto plazo, son cubiertas con el total de los activos propiedad del Poder Ejecutivo.</w:t>
      </w:r>
    </w:p>
    <w:p w14:paraId="17850ECD" w14:textId="77777777" w:rsidR="00565F28" w:rsidRPr="00C4677F" w:rsidRDefault="00565F28" w:rsidP="00565F28">
      <w:pPr>
        <w:pStyle w:val="Textoindependiente3"/>
        <w:tabs>
          <w:tab w:val="left" w:pos="5280"/>
        </w:tabs>
        <w:rPr>
          <w:sz w:val="20"/>
          <w:szCs w:val="20"/>
        </w:rPr>
      </w:pPr>
    </w:p>
    <w:p w14:paraId="669579B4" w14:textId="77777777" w:rsidR="00565F28" w:rsidRPr="00C4677F" w:rsidRDefault="00565F28" w:rsidP="00565F28">
      <w:pPr>
        <w:jc w:val="both"/>
        <w:outlineLvl w:val="0"/>
      </w:pPr>
    </w:p>
    <w:p w14:paraId="0F6AE72E" w14:textId="77777777" w:rsidR="00565F28" w:rsidRPr="00C4677F" w:rsidRDefault="00565F28" w:rsidP="00565F28">
      <w:pPr>
        <w:jc w:val="both"/>
        <w:outlineLvl w:val="0"/>
      </w:pPr>
    </w:p>
    <w:p w14:paraId="13337BB2" w14:textId="77777777" w:rsidR="00565F28" w:rsidRPr="00C4677F" w:rsidRDefault="00565F28" w:rsidP="00565F28">
      <w:pPr>
        <w:rPr>
          <w:b/>
          <w:caps/>
        </w:rPr>
      </w:pPr>
      <w:r w:rsidRPr="00C4677F">
        <w:rPr>
          <w:b/>
          <w:caps/>
        </w:rPr>
        <w:br w:type="page"/>
      </w:r>
    </w:p>
    <w:p w14:paraId="391D270B" w14:textId="77777777" w:rsidR="00565F28" w:rsidRPr="00106647" w:rsidRDefault="00565F28" w:rsidP="00565F28">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Reporte analítico del activo no circulante</w:t>
      </w:r>
    </w:p>
    <w:p w14:paraId="2E6FA07F" w14:textId="77777777" w:rsidR="00565F28" w:rsidRPr="000B74DF" w:rsidRDefault="00565F28" w:rsidP="00565F28">
      <w:pPr>
        <w:widowControl w:val="0"/>
        <w:jc w:val="both"/>
      </w:pPr>
    </w:p>
    <w:p w14:paraId="0B6CF744" w14:textId="77777777" w:rsidR="00565F28" w:rsidRPr="00C4677F" w:rsidRDefault="00565F28" w:rsidP="00565F28">
      <w:pPr>
        <w:widowControl w:val="0"/>
        <w:jc w:val="both"/>
      </w:pPr>
      <w:r w:rsidRPr="00C4677F">
        <w:t xml:space="preserve">A continuación, se presentan los saldos por tipo de activo no circulante registrado en los estados financieros consolidados del Poder Ejecutivo </w:t>
      </w:r>
      <w:r>
        <w:t>a</w:t>
      </w:r>
      <w:r w:rsidRPr="000B74DF">
        <w:t>l 3</w:t>
      </w:r>
      <w:r>
        <w:t>1</w:t>
      </w:r>
      <w:r w:rsidRPr="000B74DF">
        <w:t xml:space="preserve"> de </w:t>
      </w:r>
      <w:r>
        <w:t xml:space="preserve">diciembre </w:t>
      </w:r>
      <w:r w:rsidRPr="00C4677F">
        <w:t xml:space="preserve">de </w:t>
      </w:r>
      <w:r>
        <w:t>2022</w:t>
      </w:r>
      <w:r w:rsidRPr="00C4677F">
        <w:t xml:space="preserve">. Este reporte muestra el total de las adquisiciones que cada uno de los </w:t>
      </w:r>
      <w:r>
        <w:t>entes</w:t>
      </w:r>
      <w:r w:rsidRPr="00C4677F">
        <w:t xml:space="preserve"> públicos integran su patrimonio.</w:t>
      </w:r>
    </w:p>
    <w:p w14:paraId="6E5697FC" w14:textId="77777777" w:rsidR="00565F28" w:rsidRPr="00C4677F" w:rsidRDefault="00565F28" w:rsidP="00565F28">
      <w:pPr>
        <w:rPr>
          <w:b/>
          <w:bCs/>
        </w:rPr>
      </w:pPr>
    </w:p>
    <w:p w14:paraId="0B1185CD" w14:textId="77777777" w:rsidR="00565F28" w:rsidRDefault="00565F28" w:rsidP="00565F28">
      <w:r w:rsidRPr="00FA61EC">
        <w:rPr>
          <w:noProof/>
          <w:lang w:eastAsia="es-MX"/>
        </w:rPr>
        <w:drawing>
          <wp:inline distT="0" distB="0" distL="0" distR="0" wp14:anchorId="741AE9DF" wp14:editId="478B0427">
            <wp:extent cx="6259830" cy="2577192"/>
            <wp:effectExtent l="0" t="0" r="762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59830" cy="2577192"/>
                    </a:xfrm>
                    <a:prstGeom prst="rect">
                      <a:avLst/>
                    </a:prstGeom>
                    <a:noFill/>
                    <a:ln>
                      <a:noFill/>
                    </a:ln>
                  </pic:spPr>
                </pic:pic>
              </a:graphicData>
            </a:graphic>
          </wp:inline>
        </w:drawing>
      </w:r>
    </w:p>
    <w:p w14:paraId="3A46C8A3" w14:textId="77777777" w:rsidR="00565F28" w:rsidRPr="00C4677F" w:rsidRDefault="00565F28" w:rsidP="00565F28">
      <w:r w:rsidRPr="00FA61EC">
        <w:rPr>
          <w:noProof/>
          <w:lang w:eastAsia="es-MX"/>
        </w:rPr>
        <w:drawing>
          <wp:inline distT="0" distB="0" distL="0" distR="0" wp14:anchorId="3B2B14A0" wp14:editId="7EC30A66">
            <wp:extent cx="6259830" cy="5126829"/>
            <wp:effectExtent l="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59830" cy="5126829"/>
                    </a:xfrm>
                    <a:prstGeom prst="rect">
                      <a:avLst/>
                    </a:prstGeom>
                    <a:noFill/>
                    <a:ln>
                      <a:noFill/>
                    </a:ln>
                  </pic:spPr>
                </pic:pic>
              </a:graphicData>
            </a:graphic>
          </wp:inline>
        </w:drawing>
      </w:r>
    </w:p>
    <w:p w14:paraId="7E69B736" w14:textId="77777777" w:rsidR="00565F28" w:rsidRPr="00C4677F" w:rsidRDefault="00565F28" w:rsidP="00565F28">
      <w:pPr>
        <w:jc w:val="center"/>
      </w:pPr>
      <w:r w:rsidRPr="00FA61EC">
        <w:rPr>
          <w:noProof/>
          <w:lang w:eastAsia="es-MX"/>
        </w:rPr>
        <w:lastRenderedPageBreak/>
        <w:drawing>
          <wp:inline distT="0" distB="0" distL="0" distR="0" wp14:anchorId="1B72E7D0" wp14:editId="2233DAAD">
            <wp:extent cx="6259830" cy="3182205"/>
            <wp:effectExtent l="0" t="0" r="762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59830" cy="3182205"/>
                    </a:xfrm>
                    <a:prstGeom prst="rect">
                      <a:avLst/>
                    </a:prstGeom>
                    <a:noFill/>
                    <a:ln>
                      <a:noFill/>
                    </a:ln>
                  </pic:spPr>
                </pic:pic>
              </a:graphicData>
            </a:graphic>
          </wp:inline>
        </w:drawing>
      </w:r>
    </w:p>
    <w:p w14:paraId="38A693B8" w14:textId="77777777" w:rsidR="00565F28" w:rsidRPr="00C4677F" w:rsidRDefault="00565F28" w:rsidP="00565F28">
      <w:pPr>
        <w:jc w:val="center"/>
        <w:rPr>
          <w:noProof/>
          <w:lang w:eastAsia="es-MX"/>
        </w:rPr>
      </w:pPr>
    </w:p>
    <w:p w14:paraId="697DD27B" w14:textId="77777777" w:rsidR="00565F28" w:rsidRPr="00C4677F" w:rsidRDefault="00565F28" w:rsidP="00565F28">
      <w:pPr>
        <w:jc w:val="center"/>
        <w:rPr>
          <w:noProof/>
          <w:lang w:eastAsia="es-MX"/>
        </w:rPr>
      </w:pPr>
    </w:p>
    <w:p w14:paraId="1B00B451" w14:textId="77777777" w:rsidR="00565F28" w:rsidRPr="00C4677F" w:rsidRDefault="00565F28" w:rsidP="00565F28">
      <w:pPr>
        <w:jc w:val="center"/>
        <w:rPr>
          <w:noProof/>
          <w:lang w:eastAsia="es-MX"/>
        </w:rPr>
      </w:pPr>
    </w:p>
    <w:p w14:paraId="05125608" w14:textId="77777777" w:rsidR="00565F28" w:rsidRPr="00C4677F" w:rsidRDefault="00565F28" w:rsidP="00565F28">
      <w:pPr>
        <w:jc w:val="center"/>
      </w:pPr>
      <w:r w:rsidRPr="00FA61EC">
        <w:rPr>
          <w:noProof/>
          <w:lang w:eastAsia="es-MX"/>
        </w:rPr>
        <w:drawing>
          <wp:inline distT="0" distB="0" distL="0" distR="0" wp14:anchorId="3A58D698" wp14:editId="7D2D6473">
            <wp:extent cx="6259830" cy="2153106"/>
            <wp:effectExtent l="0" t="0" r="762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59830" cy="2153106"/>
                    </a:xfrm>
                    <a:prstGeom prst="rect">
                      <a:avLst/>
                    </a:prstGeom>
                    <a:noFill/>
                    <a:ln>
                      <a:noFill/>
                    </a:ln>
                  </pic:spPr>
                </pic:pic>
              </a:graphicData>
            </a:graphic>
          </wp:inline>
        </w:drawing>
      </w:r>
    </w:p>
    <w:p w14:paraId="2B7B12C7" w14:textId="77777777" w:rsidR="00565F28" w:rsidRPr="00C4677F" w:rsidRDefault="00565F28" w:rsidP="00565F28">
      <w:pPr>
        <w:jc w:val="both"/>
      </w:pPr>
    </w:p>
    <w:p w14:paraId="2B8C13AB" w14:textId="77777777" w:rsidR="00565F28" w:rsidRDefault="00565F28" w:rsidP="00565F28">
      <w:pPr>
        <w:jc w:val="both"/>
      </w:pPr>
    </w:p>
    <w:p w14:paraId="37DB4384" w14:textId="77777777" w:rsidR="00565F28" w:rsidRPr="00C4677F" w:rsidRDefault="00565F28" w:rsidP="00565F28">
      <w:pPr>
        <w:jc w:val="both"/>
      </w:pPr>
    </w:p>
    <w:p w14:paraId="71B9E1DD" w14:textId="77777777" w:rsidR="00565F28" w:rsidRDefault="00565F28" w:rsidP="00565F28">
      <w:pPr>
        <w:jc w:val="center"/>
      </w:pPr>
      <w:r w:rsidRPr="00FA61EC">
        <w:rPr>
          <w:noProof/>
          <w:lang w:eastAsia="es-MX"/>
        </w:rPr>
        <w:drawing>
          <wp:inline distT="0" distB="0" distL="0" distR="0" wp14:anchorId="51738ACF" wp14:editId="58A10AED">
            <wp:extent cx="6259830" cy="2234849"/>
            <wp:effectExtent l="0" t="0" r="762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59830" cy="2234849"/>
                    </a:xfrm>
                    <a:prstGeom prst="rect">
                      <a:avLst/>
                    </a:prstGeom>
                    <a:noFill/>
                    <a:ln>
                      <a:noFill/>
                    </a:ln>
                  </pic:spPr>
                </pic:pic>
              </a:graphicData>
            </a:graphic>
          </wp:inline>
        </w:drawing>
      </w:r>
    </w:p>
    <w:p w14:paraId="031ABCFF" w14:textId="77777777" w:rsidR="00565F28" w:rsidRDefault="00565F28" w:rsidP="00565F28">
      <w:pPr>
        <w:jc w:val="center"/>
      </w:pPr>
    </w:p>
    <w:p w14:paraId="66E0C184" w14:textId="77777777" w:rsidR="00565F28" w:rsidRPr="00C4677F" w:rsidRDefault="00565F28" w:rsidP="00565F28">
      <w:pPr>
        <w:jc w:val="center"/>
      </w:pPr>
      <w:r w:rsidRPr="00FA61EC">
        <w:rPr>
          <w:noProof/>
          <w:lang w:eastAsia="es-MX"/>
        </w:rPr>
        <w:lastRenderedPageBreak/>
        <w:drawing>
          <wp:inline distT="0" distB="0" distL="0" distR="0" wp14:anchorId="352D1D3C" wp14:editId="1EC7594C">
            <wp:extent cx="6259830" cy="3376263"/>
            <wp:effectExtent l="0" t="0" r="762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9830" cy="3376263"/>
                    </a:xfrm>
                    <a:prstGeom prst="rect">
                      <a:avLst/>
                    </a:prstGeom>
                    <a:noFill/>
                    <a:ln>
                      <a:noFill/>
                    </a:ln>
                  </pic:spPr>
                </pic:pic>
              </a:graphicData>
            </a:graphic>
          </wp:inline>
        </w:drawing>
      </w:r>
    </w:p>
    <w:p w14:paraId="576CDBDD" w14:textId="77777777" w:rsidR="00565F28" w:rsidRPr="00C4677F" w:rsidRDefault="00565F28" w:rsidP="00565F28">
      <w:pPr>
        <w:jc w:val="center"/>
      </w:pPr>
    </w:p>
    <w:p w14:paraId="063B913E" w14:textId="77777777" w:rsidR="00565F28" w:rsidRPr="00C4677F" w:rsidRDefault="00565F28" w:rsidP="00565F28">
      <w:pPr>
        <w:jc w:val="center"/>
      </w:pPr>
    </w:p>
    <w:p w14:paraId="363FB6D7" w14:textId="77777777" w:rsidR="00565F28" w:rsidRPr="00C4677F" w:rsidRDefault="00565F28" w:rsidP="00565F28">
      <w:pPr>
        <w:jc w:val="center"/>
      </w:pPr>
    </w:p>
    <w:p w14:paraId="45561C3D" w14:textId="77777777" w:rsidR="00565F28" w:rsidRPr="00C4677F" w:rsidRDefault="00565F28" w:rsidP="00565F28">
      <w:pPr>
        <w:jc w:val="center"/>
      </w:pPr>
      <w:r w:rsidRPr="00FA61EC">
        <w:rPr>
          <w:noProof/>
          <w:lang w:eastAsia="es-MX"/>
        </w:rPr>
        <w:drawing>
          <wp:inline distT="0" distB="0" distL="0" distR="0" wp14:anchorId="60B96B8F" wp14:editId="44603A92">
            <wp:extent cx="6259830" cy="3481003"/>
            <wp:effectExtent l="0" t="0" r="762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59830" cy="3481003"/>
                    </a:xfrm>
                    <a:prstGeom prst="rect">
                      <a:avLst/>
                    </a:prstGeom>
                    <a:noFill/>
                    <a:ln>
                      <a:noFill/>
                    </a:ln>
                  </pic:spPr>
                </pic:pic>
              </a:graphicData>
            </a:graphic>
          </wp:inline>
        </w:drawing>
      </w:r>
    </w:p>
    <w:p w14:paraId="13862A9A" w14:textId="77777777" w:rsidR="00565F28" w:rsidRPr="00C4677F" w:rsidRDefault="00565F28" w:rsidP="00565F28">
      <w:pPr>
        <w:jc w:val="both"/>
      </w:pPr>
    </w:p>
    <w:p w14:paraId="1D1D12A4" w14:textId="77777777" w:rsidR="00565F28" w:rsidRDefault="00565F28" w:rsidP="00565F28"/>
    <w:p w14:paraId="7F60D5FF" w14:textId="77777777" w:rsidR="00565F28" w:rsidRPr="00C4677F" w:rsidRDefault="00565F28" w:rsidP="00565F28"/>
    <w:p w14:paraId="40FE8F39" w14:textId="77777777" w:rsidR="00565F28" w:rsidRPr="00C4677F" w:rsidRDefault="00565F28" w:rsidP="00565F28">
      <w:pPr>
        <w:jc w:val="center"/>
      </w:pPr>
      <w:r w:rsidRPr="00FA61EC">
        <w:rPr>
          <w:noProof/>
          <w:lang w:eastAsia="es-MX"/>
        </w:rPr>
        <w:lastRenderedPageBreak/>
        <w:drawing>
          <wp:inline distT="0" distB="0" distL="0" distR="0" wp14:anchorId="3AB3C2EA" wp14:editId="1D49569D">
            <wp:extent cx="6259830" cy="2992069"/>
            <wp:effectExtent l="0" t="0" r="762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59830" cy="2992069"/>
                    </a:xfrm>
                    <a:prstGeom prst="rect">
                      <a:avLst/>
                    </a:prstGeom>
                    <a:noFill/>
                    <a:ln>
                      <a:noFill/>
                    </a:ln>
                  </pic:spPr>
                </pic:pic>
              </a:graphicData>
            </a:graphic>
          </wp:inline>
        </w:drawing>
      </w:r>
    </w:p>
    <w:p w14:paraId="00C953A7" w14:textId="77777777" w:rsidR="00565F28" w:rsidRPr="00C4677F" w:rsidRDefault="00565F28" w:rsidP="00565F28"/>
    <w:p w14:paraId="469AEE42" w14:textId="77777777" w:rsidR="00565F28" w:rsidRPr="00C4677F" w:rsidRDefault="00565F28" w:rsidP="00565F28"/>
    <w:p w14:paraId="40B3237C" w14:textId="77777777" w:rsidR="00565F28" w:rsidRPr="00C4677F" w:rsidRDefault="00565F28" w:rsidP="00565F28"/>
    <w:p w14:paraId="33651241" w14:textId="77777777" w:rsidR="00565F28" w:rsidRDefault="00565F28" w:rsidP="00565F28">
      <w:pPr>
        <w:jc w:val="center"/>
        <w:outlineLvl w:val="0"/>
      </w:pPr>
      <w:r w:rsidRPr="00FA61EC">
        <w:rPr>
          <w:noProof/>
          <w:lang w:eastAsia="es-MX"/>
        </w:rPr>
        <w:drawing>
          <wp:inline distT="0" distB="0" distL="0" distR="0" wp14:anchorId="218C8314" wp14:editId="268D5907">
            <wp:extent cx="6259830" cy="4140538"/>
            <wp:effectExtent l="0" t="0" r="762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59830" cy="4140538"/>
                    </a:xfrm>
                    <a:prstGeom prst="rect">
                      <a:avLst/>
                    </a:prstGeom>
                    <a:noFill/>
                    <a:ln>
                      <a:noFill/>
                    </a:ln>
                  </pic:spPr>
                </pic:pic>
              </a:graphicData>
            </a:graphic>
          </wp:inline>
        </w:drawing>
      </w:r>
    </w:p>
    <w:p w14:paraId="477A2905" w14:textId="77777777" w:rsidR="00565F28" w:rsidRDefault="00565F28" w:rsidP="00565F28">
      <w:pPr>
        <w:jc w:val="center"/>
        <w:outlineLvl w:val="0"/>
      </w:pPr>
    </w:p>
    <w:p w14:paraId="348483C0" w14:textId="77777777" w:rsidR="00565F28" w:rsidRDefault="00565F28" w:rsidP="00565F28">
      <w:pPr>
        <w:jc w:val="center"/>
        <w:outlineLvl w:val="0"/>
      </w:pPr>
    </w:p>
    <w:p w14:paraId="5ABF3BE8" w14:textId="77777777" w:rsidR="00565F28" w:rsidRDefault="00565F28" w:rsidP="00565F28">
      <w:pPr>
        <w:jc w:val="center"/>
        <w:outlineLvl w:val="0"/>
      </w:pPr>
    </w:p>
    <w:p w14:paraId="756A2758" w14:textId="77777777" w:rsidR="00565F28" w:rsidRPr="00C4677F" w:rsidRDefault="00565F28" w:rsidP="00565F28">
      <w:pPr>
        <w:jc w:val="center"/>
        <w:outlineLvl w:val="0"/>
      </w:pPr>
      <w:r w:rsidRPr="00FA61EC">
        <w:rPr>
          <w:noProof/>
          <w:lang w:eastAsia="es-MX"/>
        </w:rPr>
        <w:lastRenderedPageBreak/>
        <w:drawing>
          <wp:inline distT="0" distB="0" distL="0" distR="0" wp14:anchorId="179D3551" wp14:editId="05131AC1">
            <wp:extent cx="6259830" cy="2594748"/>
            <wp:effectExtent l="0" t="0" r="762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59830" cy="2594748"/>
                    </a:xfrm>
                    <a:prstGeom prst="rect">
                      <a:avLst/>
                    </a:prstGeom>
                    <a:noFill/>
                    <a:ln>
                      <a:noFill/>
                    </a:ln>
                  </pic:spPr>
                </pic:pic>
              </a:graphicData>
            </a:graphic>
          </wp:inline>
        </w:drawing>
      </w:r>
    </w:p>
    <w:p w14:paraId="047442AC" w14:textId="77777777" w:rsidR="00565F28" w:rsidRPr="00C4677F" w:rsidRDefault="00565F28" w:rsidP="00565F28"/>
    <w:p w14:paraId="7B2E82F1" w14:textId="77777777" w:rsidR="00565F28" w:rsidRPr="00C4677F" w:rsidRDefault="00565F28" w:rsidP="00565F28"/>
    <w:p w14:paraId="42625C2D" w14:textId="77777777" w:rsidR="00565F28" w:rsidRPr="00C4677F" w:rsidRDefault="00565F28" w:rsidP="00565F28"/>
    <w:p w14:paraId="5276F14E" w14:textId="77777777" w:rsidR="00565F28" w:rsidRPr="00C4677F" w:rsidRDefault="00565F28" w:rsidP="00565F28">
      <w:pPr>
        <w:jc w:val="both"/>
      </w:pPr>
    </w:p>
    <w:p w14:paraId="381417B3" w14:textId="77777777" w:rsidR="00565F28" w:rsidRDefault="00565F28" w:rsidP="00565F28">
      <w:pPr>
        <w:jc w:val="both"/>
        <w:rPr>
          <w:rFonts w:eastAsia="Arial"/>
        </w:rPr>
      </w:pPr>
    </w:p>
    <w:p w14:paraId="7444F25C" w14:textId="77777777" w:rsidR="00D27D7A" w:rsidRDefault="00D27D7A" w:rsidP="00D27D7A">
      <w:pPr>
        <w:outlineLvl w:val="0"/>
      </w:pPr>
    </w:p>
    <w:sectPr w:rsidR="00D27D7A" w:rsidSect="006E7DD1">
      <w:headerReference w:type="default" r:id="rId52"/>
      <w:footerReference w:type="even" r:id="rId53"/>
      <w:footerReference w:type="default" r:id="rId54"/>
      <w:headerReference w:type="first" r:id="rId55"/>
      <w:footerReference w:type="first" r:id="rId5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7FC5" w14:textId="77777777" w:rsidR="00045EB2" w:rsidRDefault="00045EB2">
      <w:r>
        <w:separator/>
      </w:r>
    </w:p>
  </w:endnote>
  <w:endnote w:type="continuationSeparator" w:id="0">
    <w:p w14:paraId="4A316572" w14:textId="77777777" w:rsidR="00045EB2" w:rsidRDefault="0004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B51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0FF1EB"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4314"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27D7A">
      <w:rPr>
        <w:rFonts w:ascii="HelveticaNeueLT Std Lt" w:eastAsia="Kozuka Gothic Pro B" w:hAnsi="HelveticaNeueLT Std Lt"/>
        <w:noProof/>
        <w:color w:val="FFFFFF" w:themeColor="background1"/>
        <w:sz w:val="22"/>
        <w:szCs w:val="22"/>
        <w:lang w:val="es-MX"/>
      </w:rPr>
      <w:t>25</w:t>
    </w:r>
    <w:r w:rsidRPr="00CE6C9F">
      <w:rPr>
        <w:rFonts w:ascii="HelveticaNeueLT Std Lt" w:eastAsia="Kozuka Gothic Pro B" w:hAnsi="HelveticaNeueLT Std Lt"/>
        <w:color w:val="FFFFFF" w:themeColor="background1"/>
        <w:sz w:val="22"/>
        <w:szCs w:val="22"/>
        <w:lang w:val="es-MX"/>
      </w:rPr>
      <w:fldChar w:fldCharType="end"/>
    </w:r>
  </w:p>
  <w:p w14:paraId="4F864383"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564F"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6DF37C7F" wp14:editId="30FC026F">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3B699A"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4EF61E30" wp14:editId="52F0E45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9CAC9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E73B8D6" wp14:editId="3886D98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083CD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285436E9" wp14:editId="41CB4FD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B02CA1"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FC240EC" wp14:editId="4A416D7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5340B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C78C" w14:textId="77777777" w:rsidR="00045EB2" w:rsidRDefault="00045EB2">
      <w:r>
        <w:separator/>
      </w:r>
    </w:p>
  </w:footnote>
  <w:footnote w:type="continuationSeparator" w:id="0">
    <w:p w14:paraId="0FFCDC35" w14:textId="77777777" w:rsidR="00045EB2" w:rsidRDefault="0004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9441"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6B33B7C" wp14:editId="54FDEB86">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CD0BF"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647128D8" w14:textId="4300DF3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21027D">
                            <w:rPr>
                              <w:rFonts w:ascii="HelveticaNeueLT Std Lt" w:eastAsia="Kozuka Gothic Pro B" w:hAnsi="HelveticaNeueLT Std Lt"/>
                              <w:lang w:val="es-MX"/>
                            </w:rPr>
                            <w:t>2</w:t>
                          </w:r>
                        </w:p>
                        <w:p w14:paraId="6438D13D"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3B7C"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78CCD0BF"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647128D8" w14:textId="4300DF3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21027D">
                      <w:rPr>
                        <w:rFonts w:ascii="HelveticaNeueLT Std Lt" w:eastAsia="Kozuka Gothic Pro B" w:hAnsi="HelveticaNeueLT Std Lt"/>
                        <w:lang w:val="es-MX"/>
                      </w:rPr>
                      <w:t>2</w:t>
                    </w:r>
                  </w:p>
                  <w:p w14:paraId="6438D13D"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2C4147AD" wp14:editId="5F67831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7426173" w14:textId="77777777" w:rsidR="004119E4" w:rsidRDefault="004119E4" w:rsidP="00BF6032">
    <w:pPr>
      <w:pStyle w:val="Encabezado"/>
      <w:tabs>
        <w:tab w:val="left" w:pos="4860"/>
      </w:tabs>
      <w:ind w:right="846"/>
      <w:jc w:val="right"/>
      <w:rPr>
        <w:rFonts w:ascii="Romana BT" w:hAnsi="Romana BT"/>
        <w:b/>
        <w:sz w:val="16"/>
        <w:szCs w:val="16"/>
      </w:rPr>
    </w:pPr>
  </w:p>
  <w:p w14:paraId="38A1387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62C1"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211C57D5" wp14:editId="5762376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5EB2"/>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2A3"/>
    <w:rsid w:val="002013F4"/>
    <w:rsid w:val="00202C43"/>
    <w:rsid w:val="00203BAF"/>
    <w:rsid w:val="00205336"/>
    <w:rsid w:val="00205D9F"/>
    <w:rsid w:val="002074D1"/>
    <w:rsid w:val="0021027D"/>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5C07"/>
    <w:rsid w:val="002E0223"/>
    <w:rsid w:val="002E0337"/>
    <w:rsid w:val="002E054A"/>
    <w:rsid w:val="002E1944"/>
    <w:rsid w:val="002E1BAF"/>
    <w:rsid w:val="002E393F"/>
    <w:rsid w:val="002E3E55"/>
    <w:rsid w:val="002E4A50"/>
    <w:rsid w:val="002E4F0F"/>
    <w:rsid w:val="002E767E"/>
    <w:rsid w:val="002F158D"/>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7776B"/>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812"/>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5F28"/>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24C"/>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649B"/>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1DA4"/>
    <w:rsid w:val="009F3C7A"/>
    <w:rsid w:val="009F602B"/>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347"/>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298C"/>
    <w:rsid w:val="00C1349A"/>
    <w:rsid w:val="00C14688"/>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27D7A"/>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6F44"/>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618E717"/>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D27D7A"/>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D27D7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2E3B-28FA-426E-958F-C5E6CDF7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5013</Words>
  <Characters>27573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2023-03-15T20:08:00Z</cp:lastPrinted>
  <dcterms:created xsi:type="dcterms:W3CDTF">2023-03-15T20:08:00Z</dcterms:created>
  <dcterms:modified xsi:type="dcterms:W3CDTF">2023-03-15T20:08:00Z</dcterms:modified>
</cp:coreProperties>
</file>