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703248" w:rsidRPr="0016098B" w:rsidRDefault="00703248" w:rsidP="00703248">
      <w:pPr>
        <w:autoSpaceDE w:val="0"/>
        <w:autoSpaceDN w:val="0"/>
        <w:adjustRightInd w:val="0"/>
        <w:jc w:val="both"/>
        <w:rPr>
          <w:rFonts w:eastAsia="Calibri"/>
          <w:snapToGrid w:val="0"/>
          <w:color w:val="000000"/>
          <w:lang w:val="es-ES_tradnl"/>
        </w:rPr>
      </w:pPr>
      <w:r w:rsidRPr="0016098B">
        <w:rPr>
          <w:rFonts w:eastAsia="Calibri"/>
          <w:snapToGrid w:val="0"/>
          <w:color w:val="000000"/>
          <w:lang w:val="es-ES_tradnl"/>
        </w:rPr>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w:t>
      </w:r>
      <w:bookmarkStart w:id="0" w:name="_GoBack"/>
      <w:bookmarkEnd w:id="0"/>
      <w:r w:rsidRPr="0016098B">
        <w:rPr>
          <w:rFonts w:eastAsia="Calibri"/>
          <w:snapToGrid w:val="0"/>
          <w:color w:val="000000"/>
          <w:lang w:val="es-ES_tradnl"/>
        </w:rPr>
        <w:t>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703248" w:rsidRPr="0016098B" w:rsidRDefault="00703248" w:rsidP="00703248">
      <w:pPr>
        <w:autoSpaceDE w:val="0"/>
        <w:autoSpaceDN w:val="0"/>
        <w:adjustRightInd w:val="0"/>
        <w:jc w:val="both"/>
        <w:rPr>
          <w:rFonts w:eastAsia="Calibri"/>
          <w:snapToGrid w:val="0"/>
          <w:color w:val="000000"/>
          <w:lang w:val="es-ES_tradnl"/>
        </w:rPr>
      </w:pPr>
    </w:p>
    <w:p w:rsidR="00703248" w:rsidRPr="0016098B" w:rsidRDefault="00703248" w:rsidP="00703248">
      <w:pPr>
        <w:autoSpaceDE w:val="0"/>
        <w:autoSpaceDN w:val="0"/>
        <w:adjustRightInd w:val="0"/>
        <w:jc w:val="both"/>
        <w:rPr>
          <w:rFonts w:eastAsia="Calibri"/>
          <w:snapToGrid w:val="0"/>
          <w:color w:val="000000"/>
          <w:lang w:val="es-ES_tradnl"/>
        </w:rPr>
      </w:pPr>
      <w:r w:rsidRPr="0016098B">
        <w:rPr>
          <w:rFonts w:eastAsia="Calibri"/>
          <w:snapToGrid w:val="0"/>
          <w:color w:val="000000"/>
          <w:lang w:val="es-ES_tradnl"/>
        </w:rPr>
        <w:t>Durante el presente ejercicio, al mes de diciembre de 2023, se ha liquidado un importe de 363.6 millones de pesos correspondientes a los intereses generados.</w:t>
      </w:r>
    </w:p>
    <w:p w:rsidR="00703248" w:rsidRPr="0016098B" w:rsidRDefault="00703248" w:rsidP="00703248">
      <w:pPr>
        <w:autoSpaceDE w:val="0"/>
        <w:autoSpaceDN w:val="0"/>
        <w:adjustRightInd w:val="0"/>
        <w:jc w:val="both"/>
        <w:rPr>
          <w:rFonts w:eastAsia="Calibri"/>
          <w:snapToGrid w:val="0"/>
          <w:color w:val="000000"/>
          <w:lang w:val="es-ES_tradnl"/>
        </w:rPr>
      </w:pPr>
    </w:p>
    <w:p w:rsidR="00703248" w:rsidRPr="0016098B" w:rsidRDefault="00703248" w:rsidP="00703248">
      <w:pPr>
        <w:autoSpaceDE w:val="0"/>
        <w:autoSpaceDN w:val="0"/>
        <w:adjustRightInd w:val="0"/>
        <w:jc w:val="both"/>
        <w:rPr>
          <w:rFonts w:eastAsia="Calibri"/>
          <w:snapToGrid w:val="0"/>
          <w:color w:val="000000"/>
          <w:lang w:val="es-ES_tradnl"/>
        </w:rPr>
      </w:pPr>
      <w:r w:rsidRPr="0016098B">
        <w:rPr>
          <w:rFonts w:eastAsia="Calibri"/>
          <w:snapToGrid w:val="0"/>
          <w:color w:val="000000"/>
          <w:lang w:val="es-ES_tradnl"/>
        </w:rPr>
        <w:t xml:space="preserve">Al 31 de diciembre de 2023, se refleja un saldo de 6 mil 680.6 millones de pesos.  </w:t>
      </w:r>
    </w:p>
    <w:p w:rsidR="00703248" w:rsidRPr="0016098B" w:rsidRDefault="00703248" w:rsidP="00703248">
      <w:pPr>
        <w:autoSpaceDE w:val="0"/>
        <w:autoSpaceDN w:val="0"/>
        <w:adjustRightInd w:val="0"/>
        <w:jc w:val="both"/>
        <w:rPr>
          <w:rFonts w:eastAsia="Calibri"/>
          <w:snapToGrid w:val="0"/>
          <w:color w:val="000000"/>
          <w:lang w:val="es-ES_tradnl"/>
        </w:rPr>
      </w:pPr>
    </w:p>
    <w:p w:rsidR="00703248" w:rsidRPr="00E27EEB" w:rsidRDefault="00703248" w:rsidP="00703248">
      <w:pPr>
        <w:tabs>
          <w:tab w:val="left" w:pos="4395"/>
        </w:tabs>
        <w:rPr>
          <w:b/>
          <w:bCs/>
          <w:lang w:val="es-ES_tradnl" w:eastAsia="es-MX"/>
        </w:rPr>
      </w:pPr>
      <w:r w:rsidRPr="00AE223E">
        <w:rPr>
          <w:noProof/>
        </w:rPr>
        <w:drawing>
          <wp:inline distT="0" distB="0" distL="0" distR="0" wp14:anchorId="4EB67DDB" wp14:editId="4A071931">
            <wp:extent cx="6660000" cy="1893601"/>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1893601"/>
                    </a:xfrm>
                    <a:prstGeom prst="rect">
                      <a:avLst/>
                    </a:prstGeom>
                    <a:noFill/>
                    <a:ln>
                      <a:noFill/>
                    </a:ln>
                  </pic:spPr>
                </pic:pic>
              </a:graphicData>
            </a:graphic>
          </wp:inline>
        </w:drawing>
      </w:r>
    </w:p>
    <w:p w:rsidR="00703248" w:rsidRPr="00A32244" w:rsidRDefault="00703248" w:rsidP="00703248">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C7447C" w:rsidRPr="00C7447C" w:rsidRDefault="00C7447C" w:rsidP="004964D9">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2CD" w:rsidRDefault="005832CD">
      <w:r>
        <w:separator/>
      </w:r>
    </w:p>
  </w:endnote>
  <w:endnote w:type="continuationSeparator" w:id="0">
    <w:p w:rsidR="005832CD" w:rsidRDefault="0058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Cambria"/>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4964D9">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2CD" w:rsidRDefault="005832CD">
      <w:r>
        <w:separator/>
      </w:r>
    </w:p>
  </w:footnote>
  <w:footnote w:type="continuationSeparator" w:id="0">
    <w:p w:rsidR="005832CD" w:rsidRDefault="00583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F66BE6">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47727E">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F66BE6">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47727E">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63"/>
      </v:shape>
    </w:pict>
  </w:numPicBullet>
  <w:numPicBullet w:numPicBulletId="1">
    <w:pict>
      <v:shape id="_x0000_i1075" type="#_x0000_t75" style="width:30.75pt;height:30.75pt" o:bullet="t">
        <v:imagedata r:id="rId2" o:title="Viñeta"/>
      </v:shape>
    </w:pict>
  </w:numPicBullet>
  <w:numPicBullet w:numPicBulletId="2">
    <w:pict>
      <v:shape id="_x0000_i107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15A7"/>
    <w:rsid w:val="00082D1F"/>
    <w:rsid w:val="00084038"/>
    <w:rsid w:val="00085B1E"/>
    <w:rsid w:val="00087146"/>
    <w:rsid w:val="00091407"/>
    <w:rsid w:val="00091EAD"/>
    <w:rsid w:val="0009359A"/>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4756"/>
    <w:rsid w:val="00186E24"/>
    <w:rsid w:val="00190D00"/>
    <w:rsid w:val="0019112D"/>
    <w:rsid w:val="00193EC7"/>
    <w:rsid w:val="00196754"/>
    <w:rsid w:val="00196C1D"/>
    <w:rsid w:val="001A264E"/>
    <w:rsid w:val="001A333F"/>
    <w:rsid w:val="001A3A25"/>
    <w:rsid w:val="001A4068"/>
    <w:rsid w:val="001A5AD4"/>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6D8D"/>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27E"/>
    <w:rsid w:val="0047777F"/>
    <w:rsid w:val="00480D92"/>
    <w:rsid w:val="00484418"/>
    <w:rsid w:val="00484FCB"/>
    <w:rsid w:val="00485854"/>
    <w:rsid w:val="00486B24"/>
    <w:rsid w:val="00487A91"/>
    <w:rsid w:val="004921B3"/>
    <w:rsid w:val="00493E59"/>
    <w:rsid w:val="00495317"/>
    <w:rsid w:val="004964D9"/>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32CD"/>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248"/>
    <w:rsid w:val="00703BB9"/>
    <w:rsid w:val="00711365"/>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2EE1"/>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07F5"/>
    <w:rsid w:val="009D2316"/>
    <w:rsid w:val="009D3C31"/>
    <w:rsid w:val="009D6DFD"/>
    <w:rsid w:val="009D73D2"/>
    <w:rsid w:val="009E0D98"/>
    <w:rsid w:val="009E644E"/>
    <w:rsid w:val="009E66C0"/>
    <w:rsid w:val="009E6DB7"/>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1AA"/>
    <w:rsid w:val="00AA6C93"/>
    <w:rsid w:val="00AB2CB4"/>
    <w:rsid w:val="00AB2F96"/>
    <w:rsid w:val="00AB43F5"/>
    <w:rsid w:val="00AB4411"/>
    <w:rsid w:val="00AB70B1"/>
    <w:rsid w:val="00AB73BE"/>
    <w:rsid w:val="00AB7537"/>
    <w:rsid w:val="00AB7E5F"/>
    <w:rsid w:val="00AC213C"/>
    <w:rsid w:val="00AC34EB"/>
    <w:rsid w:val="00AC3B3C"/>
    <w:rsid w:val="00AD0F2E"/>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30F5"/>
    <w:rsid w:val="00B679BC"/>
    <w:rsid w:val="00B718FF"/>
    <w:rsid w:val="00B74243"/>
    <w:rsid w:val="00B749D0"/>
    <w:rsid w:val="00B8416D"/>
    <w:rsid w:val="00B849AA"/>
    <w:rsid w:val="00B84E82"/>
    <w:rsid w:val="00B84FE4"/>
    <w:rsid w:val="00B8506A"/>
    <w:rsid w:val="00B8761E"/>
    <w:rsid w:val="00B90BB5"/>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A92"/>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6A52"/>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6BE6"/>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806313196">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09EC-74E9-4DF6-9765-21925CD4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2023-03-15T22:28:00Z</cp:lastPrinted>
  <dcterms:created xsi:type="dcterms:W3CDTF">2024-03-15T17:48:00Z</dcterms:created>
  <dcterms:modified xsi:type="dcterms:W3CDTF">2024-03-15T17:48:00Z</dcterms:modified>
</cp:coreProperties>
</file>