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20C4" w14:textId="77777777" w:rsidR="007643EF" w:rsidRPr="007643EF" w:rsidRDefault="007643EF" w:rsidP="007643EF">
      <w:pPr>
        <w:autoSpaceDE w:val="0"/>
        <w:autoSpaceDN w:val="0"/>
        <w:adjustRightInd w:val="0"/>
        <w:jc w:val="center"/>
        <w:rPr>
          <w:rFonts w:eastAsia="Calibri"/>
          <w:b/>
          <w:iCs w:val="0"/>
          <w:color w:val="9E213D"/>
          <w:sz w:val="28"/>
          <w:szCs w:val="28"/>
          <w:lang w:val="es-MX" w:eastAsia="en-US"/>
        </w:rPr>
      </w:pPr>
      <w:r w:rsidRPr="007643EF">
        <w:rPr>
          <w:rFonts w:eastAsia="Calibri"/>
          <w:b/>
          <w:iCs w:val="0"/>
          <w:color w:val="9E213D"/>
          <w:sz w:val="28"/>
          <w:szCs w:val="28"/>
          <w:lang w:val="es-MX" w:eastAsia="en-US"/>
        </w:rPr>
        <w:t>Notas a los estados financieros consolidados</w:t>
      </w:r>
    </w:p>
    <w:p w14:paraId="4E15E51B" w14:textId="77777777" w:rsidR="007643EF" w:rsidRPr="007643EF" w:rsidRDefault="007643EF" w:rsidP="007643EF">
      <w:pPr>
        <w:jc w:val="center"/>
        <w:rPr>
          <w:rFonts w:eastAsia="Calibri"/>
          <w:iCs w:val="0"/>
          <w:color w:val="9E213D"/>
          <w:sz w:val="24"/>
          <w:szCs w:val="24"/>
          <w:lang w:val="es-MX"/>
        </w:rPr>
      </w:pPr>
      <w:r w:rsidRPr="007643EF">
        <w:rPr>
          <w:rFonts w:eastAsia="Calibri"/>
          <w:iCs w:val="0"/>
          <w:color w:val="9E213D"/>
          <w:sz w:val="24"/>
          <w:szCs w:val="24"/>
          <w:lang w:val="es-MX"/>
        </w:rPr>
        <w:t>DEL 1 DE ENERO AL 31 DE DICIEMBRE DE 2023</w:t>
      </w:r>
    </w:p>
    <w:p w14:paraId="390317D9" w14:textId="77777777" w:rsidR="007643EF" w:rsidRPr="007643EF" w:rsidRDefault="007643EF" w:rsidP="007643EF">
      <w:pPr>
        <w:jc w:val="center"/>
        <w:rPr>
          <w:rFonts w:eastAsia="Calibri"/>
          <w:iCs w:val="0"/>
          <w:color w:val="9E213D"/>
          <w:sz w:val="24"/>
          <w:szCs w:val="24"/>
          <w:lang w:val="es-MX"/>
        </w:rPr>
      </w:pPr>
      <w:r w:rsidRPr="007643EF">
        <w:rPr>
          <w:rFonts w:eastAsia="Calibri"/>
          <w:iCs w:val="0"/>
          <w:color w:val="9E213D"/>
          <w:sz w:val="24"/>
          <w:szCs w:val="24"/>
          <w:lang w:val="es-MX"/>
        </w:rPr>
        <w:t>(Cifras en pesos)</w:t>
      </w:r>
    </w:p>
    <w:p w14:paraId="46B6ADE8" w14:textId="77777777" w:rsidR="007643EF" w:rsidRPr="007643EF" w:rsidRDefault="007643EF" w:rsidP="007643EF">
      <w:pPr>
        <w:jc w:val="both"/>
        <w:outlineLvl w:val="0"/>
        <w:rPr>
          <w:rFonts w:eastAsia="Calibri"/>
          <w:iCs w:val="0"/>
          <w:color w:val="9E213D"/>
          <w:lang w:val="es-MX" w:eastAsia="en-US"/>
        </w:rPr>
      </w:pPr>
      <w:bookmarkStart w:id="0" w:name="_Hlk117854077"/>
    </w:p>
    <w:p w14:paraId="693A8175" w14:textId="77777777" w:rsidR="007643EF" w:rsidRPr="007643EF" w:rsidRDefault="007643EF" w:rsidP="007643EF">
      <w:pPr>
        <w:jc w:val="both"/>
        <w:rPr>
          <w:b/>
          <w:bCs/>
          <w:iCs w:val="0"/>
          <w:sz w:val="24"/>
          <w:szCs w:val="24"/>
        </w:rPr>
      </w:pPr>
      <w:r w:rsidRPr="007643EF">
        <w:rPr>
          <w:b/>
          <w:bCs/>
          <w:iCs w:val="0"/>
          <w:sz w:val="24"/>
          <w:szCs w:val="24"/>
        </w:rPr>
        <w:t>Introducción</w:t>
      </w:r>
    </w:p>
    <w:p w14:paraId="04856017" w14:textId="77777777" w:rsidR="007643EF" w:rsidRPr="007643EF" w:rsidRDefault="007643EF" w:rsidP="007643EF">
      <w:pPr>
        <w:jc w:val="both"/>
        <w:outlineLvl w:val="0"/>
        <w:rPr>
          <w:rFonts w:eastAsia="Calibri"/>
          <w:iCs w:val="0"/>
          <w:lang w:val="es-MX" w:eastAsia="en-US"/>
        </w:rPr>
      </w:pPr>
    </w:p>
    <w:p w14:paraId="0BC40C21"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del Gobierno del estado de Chiapas, correspondiente al 31 de diciembre de 2023, con los siguientes apartados:</w:t>
      </w:r>
    </w:p>
    <w:p w14:paraId="7B12032F" w14:textId="77777777" w:rsidR="007643EF" w:rsidRPr="007643EF" w:rsidRDefault="007643EF" w:rsidP="007643EF">
      <w:pPr>
        <w:jc w:val="both"/>
        <w:outlineLvl w:val="0"/>
        <w:rPr>
          <w:iCs w:val="0"/>
          <w:lang w:val="es-MX" w:eastAsia="en-US"/>
        </w:rPr>
      </w:pPr>
    </w:p>
    <w:p w14:paraId="7D1120ED" w14:textId="77777777" w:rsidR="007643EF" w:rsidRPr="007643EF" w:rsidRDefault="007643EF" w:rsidP="007643EF">
      <w:pPr>
        <w:numPr>
          <w:ilvl w:val="0"/>
          <w:numId w:val="4"/>
        </w:numPr>
        <w:spacing w:after="120"/>
        <w:ind w:left="357" w:hanging="357"/>
        <w:jc w:val="both"/>
        <w:outlineLvl w:val="0"/>
        <w:rPr>
          <w:iCs w:val="0"/>
          <w:lang w:val="es-MX" w:eastAsia="es-MX"/>
        </w:rPr>
      </w:pPr>
      <w:r w:rsidRPr="007643EF">
        <w:rPr>
          <w:iCs w:val="0"/>
          <w:lang w:val="es-MX" w:eastAsia="es-MX"/>
        </w:rPr>
        <w:t>Notas de gestión administrativa,</w:t>
      </w:r>
    </w:p>
    <w:p w14:paraId="152911DF" w14:textId="77777777" w:rsidR="007643EF" w:rsidRPr="007643EF" w:rsidRDefault="007643EF" w:rsidP="007643EF">
      <w:pPr>
        <w:numPr>
          <w:ilvl w:val="0"/>
          <w:numId w:val="4"/>
        </w:numPr>
        <w:spacing w:after="120"/>
        <w:ind w:left="357" w:hanging="357"/>
        <w:jc w:val="both"/>
        <w:outlineLvl w:val="0"/>
        <w:rPr>
          <w:iCs w:val="0"/>
          <w:lang w:val="es-MX" w:eastAsia="es-MX"/>
        </w:rPr>
      </w:pPr>
      <w:r w:rsidRPr="007643EF">
        <w:rPr>
          <w:iCs w:val="0"/>
          <w:lang w:val="es-MX" w:eastAsia="es-MX"/>
        </w:rPr>
        <w:t>Notas de desglose, y</w:t>
      </w:r>
    </w:p>
    <w:p w14:paraId="639F4F88" w14:textId="77777777" w:rsidR="007643EF" w:rsidRPr="007643EF" w:rsidRDefault="007643EF" w:rsidP="007643EF">
      <w:pPr>
        <w:numPr>
          <w:ilvl w:val="0"/>
          <w:numId w:val="4"/>
        </w:numPr>
        <w:spacing w:after="120"/>
        <w:ind w:left="357" w:hanging="357"/>
        <w:jc w:val="both"/>
        <w:outlineLvl w:val="0"/>
        <w:rPr>
          <w:iCs w:val="0"/>
          <w:lang w:val="es-MX" w:eastAsia="es-MX"/>
        </w:rPr>
      </w:pPr>
      <w:r w:rsidRPr="007643EF">
        <w:rPr>
          <w:iCs w:val="0"/>
          <w:lang w:val="es-MX" w:eastAsia="es-MX"/>
        </w:rPr>
        <w:t>Notas de memoria (cuentas de orden).</w:t>
      </w:r>
    </w:p>
    <w:p w14:paraId="71BB0518" w14:textId="77777777" w:rsidR="007643EF" w:rsidRPr="007643EF" w:rsidRDefault="007643EF" w:rsidP="007643EF">
      <w:pPr>
        <w:jc w:val="both"/>
        <w:rPr>
          <w:rFonts w:eastAsia="Calibri"/>
          <w:iCs w:val="0"/>
          <w:lang w:val="es-MX" w:eastAsia="en-US"/>
        </w:rPr>
      </w:pPr>
    </w:p>
    <w:p w14:paraId="2EBF711E"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Las cifras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01634812" w14:textId="77777777" w:rsidR="007643EF" w:rsidRPr="007643EF" w:rsidRDefault="007643EF" w:rsidP="007643EF">
      <w:pPr>
        <w:jc w:val="both"/>
        <w:rPr>
          <w:rFonts w:eastAsia="Calibri"/>
          <w:iCs w:val="0"/>
          <w:lang w:val="es-MX" w:eastAsia="en-US"/>
        </w:rPr>
      </w:pPr>
    </w:p>
    <w:p w14:paraId="58D0888B" w14:textId="77777777" w:rsidR="007643EF" w:rsidRPr="007643EF" w:rsidRDefault="007643EF" w:rsidP="007643EF">
      <w:pPr>
        <w:jc w:val="both"/>
        <w:rPr>
          <w:rFonts w:eastAsia="Calibri"/>
          <w:iCs w:val="0"/>
          <w:lang w:val="es-MX" w:eastAsia="en-US"/>
        </w:rPr>
      </w:pPr>
    </w:p>
    <w:p w14:paraId="53132A91" w14:textId="77777777" w:rsidR="007643EF" w:rsidRPr="007643EF" w:rsidRDefault="007643EF" w:rsidP="007643EF">
      <w:pPr>
        <w:jc w:val="both"/>
        <w:rPr>
          <w:b/>
          <w:bCs/>
          <w:iCs w:val="0"/>
          <w:sz w:val="24"/>
          <w:szCs w:val="24"/>
        </w:rPr>
      </w:pPr>
      <w:r w:rsidRPr="007643EF">
        <w:rPr>
          <w:b/>
          <w:bCs/>
          <w:iCs w:val="0"/>
          <w:sz w:val="24"/>
          <w:szCs w:val="24"/>
        </w:rPr>
        <w:t>Notas de gestión administrativa</w:t>
      </w:r>
    </w:p>
    <w:p w14:paraId="2154DB76" w14:textId="77777777" w:rsidR="007643EF" w:rsidRPr="007643EF" w:rsidRDefault="007643EF" w:rsidP="007643EF">
      <w:pPr>
        <w:autoSpaceDE w:val="0"/>
        <w:autoSpaceDN w:val="0"/>
        <w:adjustRightInd w:val="0"/>
        <w:jc w:val="both"/>
        <w:outlineLvl w:val="0"/>
        <w:rPr>
          <w:rFonts w:eastAsia="Calibri"/>
          <w:b/>
          <w:bCs/>
          <w:iCs w:val="0"/>
          <w:lang w:val="es-MX" w:eastAsia="en-US"/>
        </w:rPr>
      </w:pPr>
    </w:p>
    <w:p w14:paraId="4F740F17"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Autorización e historia</w:t>
      </w:r>
    </w:p>
    <w:p w14:paraId="3273BB4D" w14:textId="77777777" w:rsidR="007643EF" w:rsidRPr="007643EF" w:rsidRDefault="007643EF" w:rsidP="007643EF">
      <w:pPr>
        <w:autoSpaceDE w:val="0"/>
        <w:autoSpaceDN w:val="0"/>
        <w:adjustRightInd w:val="0"/>
        <w:jc w:val="both"/>
        <w:rPr>
          <w:rFonts w:eastAsia="Calibri"/>
          <w:iCs w:val="0"/>
          <w:lang w:val="es-MX" w:eastAsia="en-US"/>
        </w:rPr>
      </w:pPr>
    </w:p>
    <w:p w14:paraId="1CE53990" w14:textId="77777777" w:rsidR="007643EF" w:rsidRPr="007643EF" w:rsidRDefault="007643EF" w:rsidP="007643EF">
      <w:pPr>
        <w:autoSpaceDE w:val="0"/>
        <w:autoSpaceDN w:val="0"/>
        <w:adjustRightInd w:val="0"/>
        <w:jc w:val="both"/>
        <w:outlineLvl w:val="0"/>
        <w:rPr>
          <w:rFonts w:eastAsia="Calibri"/>
          <w:iCs w:val="0"/>
          <w:lang w:val="es-MX" w:eastAsia="en-US"/>
        </w:rPr>
      </w:pPr>
      <w:r w:rsidRPr="007643EF">
        <w:rPr>
          <w:rFonts w:eastAsia="Calibri"/>
          <w:iCs w:val="0"/>
          <w:lang w:val="es-MX" w:eastAsia="en-US"/>
        </w:rPr>
        <w:t xml:space="preserve">Chiapas se constituyó como estado libre y soberano el 14 de diciembre del 1824 y como parte integrante de los Estados Unidos Mexicanos por voluntad propia del pueblo chiapaneco. </w:t>
      </w:r>
    </w:p>
    <w:p w14:paraId="20DE12D2" w14:textId="77777777" w:rsidR="007643EF" w:rsidRPr="007643EF" w:rsidRDefault="007643EF" w:rsidP="007643EF">
      <w:pPr>
        <w:autoSpaceDE w:val="0"/>
        <w:autoSpaceDN w:val="0"/>
        <w:adjustRightInd w:val="0"/>
        <w:jc w:val="both"/>
        <w:outlineLvl w:val="0"/>
        <w:rPr>
          <w:rFonts w:eastAsia="Calibri"/>
          <w:iCs w:val="0"/>
          <w:lang w:val="es-MX" w:eastAsia="en-US"/>
        </w:rPr>
      </w:pPr>
    </w:p>
    <w:p w14:paraId="0284BD09" w14:textId="77777777" w:rsidR="007643EF" w:rsidRPr="007643EF" w:rsidRDefault="007643EF" w:rsidP="007643EF">
      <w:pPr>
        <w:autoSpaceDE w:val="0"/>
        <w:autoSpaceDN w:val="0"/>
        <w:adjustRightInd w:val="0"/>
        <w:jc w:val="both"/>
        <w:outlineLvl w:val="0"/>
        <w:rPr>
          <w:rFonts w:eastAsia="Calibri"/>
          <w:iCs w:val="0"/>
          <w:lang w:val="es-MX" w:eastAsia="en-US"/>
        </w:rPr>
      </w:pPr>
      <w:r w:rsidRPr="007643EF">
        <w:rPr>
          <w:rFonts w:eastAsia="Calibri"/>
          <w:iCs w:val="0"/>
          <w:lang w:val="es-MX" w:eastAsia="en-US"/>
        </w:rPr>
        <w:t>Para su organización política y administrativa se divide en 125 municipios libres, clasificados en 15 regiones socioeconómicas.</w:t>
      </w:r>
    </w:p>
    <w:p w14:paraId="3954C555" w14:textId="77777777" w:rsidR="007643EF" w:rsidRPr="007643EF" w:rsidRDefault="007643EF" w:rsidP="007643EF">
      <w:pPr>
        <w:autoSpaceDE w:val="0"/>
        <w:autoSpaceDN w:val="0"/>
        <w:adjustRightInd w:val="0"/>
        <w:jc w:val="both"/>
        <w:outlineLvl w:val="0"/>
        <w:rPr>
          <w:rFonts w:eastAsia="Calibri"/>
          <w:iCs w:val="0"/>
          <w:lang w:val="es-MX" w:eastAsia="en-US"/>
        </w:rPr>
      </w:pPr>
    </w:p>
    <w:p w14:paraId="0423172A" w14:textId="77777777" w:rsidR="007643EF" w:rsidRPr="007643EF" w:rsidRDefault="007643EF" w:rsidP="007643EF">
      <w:pPr>
        <w:autoSpaceDE w:val="0"/>
        <w:autoSpaceDN w:val="0"/>
        <w:adjustRightInd w:val="0"/>
        <w:jc w:val="both"/>
        <w:outlineLvl w:val="0"/>
        <w:rPr>
          <w:rFonts w:eastAsia="Calibri"/>
          <w:iCs w:val="0"/>
          <w:lang w:val="es-MX" w:eastAsia="en-US"/>
        </w:rPr>
      </w:pPr>
      <w:r w:rsidRPr="007643EF">
        <w:rPr>
          <w:rFonts w:eastAsia="Calibri"/>
          <w:iCs w:val="0"/>
          <w:lang w:val="es-MX" w:eastAsia="en-US"/>
        </w:rPr>
        <w:t xml:space="preserve">Localizado al sureste de los Estados Unidos Mexicanos con una población intercultural, cuenta con una estructura económica centrada en los sectores de comercio y servicios, originadas por el </w:t>
      </w:r>
      <w:hyperlink r:id="rId8" w:tooltip="Turismo" w:history="1">
        <w:r w:rsidRPr="007643EF">
          <w:rPr>
            <w:rFonts w:eastAsia="Calibri"/>
            <w:iCs w:val="0"/>
            <w:lang w:val="es-MX" w:eastAsia="en-US"/>
          </w:rPr>
          <w:t>turismo</w:t>
        </w:r>
      </w:hyperlink>
      <w:r w:rsidRPr="007643EF">
        <w:rPr>
          <w:rFonts w:eastAsia="Calibri"/>
          <w:iCs w:val="0"/>
          <w:lang w:val="es-MX" w:eastAsia="en-US"/>
        </w:rPr>
        <w:t xml:space="preserve"> nacional e internacional. En el ramo agropecuario se destaca la producción de </w:t>
      </w:r>
      <w:hyperlink r:id="rId9" w:tooltip="Coffea" w:history="1">
        <w:r w:rsidRPr="007643EF">
          <w:rPr>
            <w:rFonts w:eastAsia="Calibri"/>
            <w:iCs w:val="0"/>
            <w:lang w:val="es-MX" w:eastAsia="en-US"/>
          </w:rPr>
          <w:t>café</w:t>
        </w:r>
      </w:hyperlink>
      <w:r w:rsidRPr="007643EF">
        <w:rPr>
          <w:rFonts w:eastAsia="Calibri"/>
          <w:iCs w:val="0"/>
          <w:lang w:val="es-MX" w:eastAsia="en-US"/>
        </w:rPr>
        <w:t xml:space="preserve">, </w:t>
      </w:r>
      <w:hyperlink r:id="rId10" w:tooltip="Miel" w:history="1">
        <w:r w:rsidRPr="007643EF">
          <w:rPr>
            <w:rFonts w:eastAsia="Calibri"/>
            <w:iCs w:val="0"/>
            <w:lang w:val="es-MX" w:eastAsia="en-US"/>
          </w:rPr>
          <w:t>miel</w:t>
        </w:r>
      </w:hyperlink>
      <w:r w:rsidRPr="007643EF">
        <w:rPr>
          <w:rFonts w:eastAsia="Calibri"/>
          <w:iCs w:val="0"/>
          <w:lang w:val="es-MX" w:eastAsia="en-US"/>
        </w:rPr>
        <w:t xml:space="preserve"> y </w:t>
      </w:r>
      <w:hyperlink r:id="rId11" w:tooltip="Azúcar" w:history="1">
        <w:r w:rsidRPr="007643EF">
          <w:rPr>
            <w:rFonts w:eastAsia="Calibri"/>
            <w:iCs w:val="0"/>
            <w:lang w:val="es-MX" w:eastAsia="en-US"/>
          </w:rPr>
          <w:t>azúcar</w:t>
        </w:r>
      </w:hyperlink>
      <w:r w:rsidRPr="007643EF">
        <w:rPr>
          <w:rFonts w:eastAsia="Calibri"/>
          <w:iCs w:val="0"/>
          <w:lang w:val="es-MX" w:eastAsia="en-US"/>
        </w:rPr>
        <w:t xml:space="preserve"> de caña y así también la producción artesanal como la elaboración de joyas a base de </w:t>
      </w:r>
      <w:hyperlink r:id="rId12" w:tooltip="Ámbar" w:history="1">
        <w:r w:rsidRPr="007643EF">
          <w:rPr>
            <w:rFonts w:eastAsia="Calibri"/>
            <w:iCs w:val="0"/>
            <w:lang w:val="es-MX" w:eastAsia="en-US"/>
          </w:rPr>
          <w:t>ámbar</w:t>
        </w:r>
      </w:hyperlink>
      <w:r w:rsidRPr="007643EF">
        <w:rPr>
          <w:rFonts w:eastAsia="Calibri"/>
          <w:iCs w:val="0"/>
          <w:lang w:val="es-MX" w:eastAsia="en-US"/>
        </w:rPr>
        <w:t>, los trabajos en madera y barro.</w:t>
      </w:r>
    </w:p>
    <w:p w14:paraId="513C6319" w14:textId="77777777" w:rsidR="007643EF" w:rsidRPr="007643EF" w:rsidRDefault="007643EF" w:rsidP="007643EF">
      <w:pPr>
        <w:autoSpaceDE w:val="0"/>
        <w:autoSpaceDN w:val="0"/>
        <w:adjustRightInd w:val="0"/>
        <w:jc w:val="both"/>
        <w:outlineLvl w:val="0"/>
        <w:rPr>
          <w:rFonts w:eastAsia="Calibri"/>
          <w:b/>
          <w:bCs/>
          <w:iCs w:val="0"/>
          <w:lang w:val="es-MX" w:eastAsia="en-US"/>
        </w:rPr>
      </w:pPr>
    </w:p>
    <w:p w14:paraId="14B2A2CE"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Panorama económico y financiero</w:t>
      </w:r>
    </w:p>
    <w:p w14:paraId="241C81D1" w14:textId="77777777" w:rsidR="007643EF" w:rsidRPr="007643EF" w:rsidRDefault="007643EF" w:rsidP="007643EF">
      <w:pPr>
        <w:autoSpaceDE w:val="0"/>
        <w:autoSpaceDN w:val="0"/>
        <w:adjustRightInd w:val="0"/>
        <w:jc w:val="both"/>
        <w:outlineLvl w:val="0"/>
        <w:rPr>
          <w:rFonts w:eastAsia="Calibri"/>
          <w:iCs w:val="0"/>
          <w:lang w:val="es-MX" w:eastAsia="en-US"/>
        </w:rPr>
      </w:pPr>
    </w:p>
    <w:p w14:paraId="74AD059D" w14:textId="77777777" w:rsidR="007643EF" w:rsidRPr="007643EF" w:rsidRDefault="007643EF" w:rsidP="007643EF">
      <w:pPr>
        <w:autoSpaceDE w:val="0"/>
        <w:autoSpaceDN w:val="0"/>
        <w:adjustRightInd w:val="0"/>
        <w:jc w:val="both"/>
        <w:outlineLvl w:val="0"/>
        <w:rPr>
          <w:rFonts w:eastAsia="Calibri"/>
          <w:iCs w:val="0"/>
          <w:lang w:val="es-MX" w:eastAsia="en-US"/>
        </w:rPr>
      </w:pPr>
      <w:r w:rsidRPr="007643EF">
        <w:rPr>
          <w:rFonts w:eastAsia="Calibri"/>
          <w:iCs w:val="0"/>
          <w:lang w:val="es-MX" w:eastAsia="en-US"/>
        </w:rPr>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2CBD5E4F" w14:textId="77777777" w:rsidR="007643EF" w:rsidRPr="007643EF" w:rsidRDefault="007643EF" w:rsidP="007643EF">
      <w:pPr>
        <w:autoSpaceDE w:val="0"/>
        <w:autoSpaceDN w:val="0"/>
        <w:adjustRightInd w:val="0"/>
        <w:jc w:val="both"/>
        <w:outlineLvl w:val="0"/>
        <w:rPr>
          <w:rFonts w:eastAsia="Calibri"/>
          <w:iCs w:val="0"/>
          <w:lang w:val="es-MX" w:eastAsia="en-US"/>
        </w:rPr>
      </w:pPr>
    </w:p>
    <w:p w14:paraId="77D7C35B"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Organización y objeto social</w:t>
      </w:r>
    </w:p>
    <w:p w14:paraId="2B6E5EEA" w14:textId="77777777" w:rsidR="007643EF" w:rsidRPr="007643EF" w:rsidRDefault="007643EF" w:rsidP="007643EF">
      <w:pPr>
        <w:autoSpaceDE w:val="0"/>
        <w:autoSpaceDN w:val="0"/>
        <w:adjustRightInd w:val="0"/>
        <w:jc w:val="both"/>
        <w:outlineLvl w:val="0"/>
        <w:rPr>
          <w:rFonts w:eastAsia="Calibri"/>
          <w:iCs w:val="0"/>
          <w:lang w:val="es-MX" w:eastAsia="en-US"/>
        </w:rPr>
      </w:pPr>
    </w:p>
    <w:p w14:paraId="443BFD5E" w14:textId="77777777" w:rsidR="007643EF" w:rsidRPr="007643EF" w:rsidRDefault="007643EF" w:rsidP="007643EF">
      <w:pPr>
        <w:autoSpaceDE w:val="0"/>
        <w:autoSpaceDN w:val="0"/>
        <w:adjustRightInd w:val="0"/>
        <w:jc w:val="both"/>
        <w:outlineLvl w:val="0"/>
        <w:rPr>
          <w:rFonts w:eastAsia="Calibri"/>
          <w:iCs w:val="0"/>
          <w:lang w:val="es-MX" w:eastAsia="en-US"/>
        </w:rPr>
      </w:pPr>
      <w:r w:rsidRPr="007643EF">
        <w:rPr>
          <w:rFonts w:eastAsia="Calibri"/>
          <w:iCs w:val="0"/>
          <w:lang w:val="es-MX" w:eastAsia="en-US"/>
        </w:rPr>
        <w:t>La estructura organizacional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14:paraId="4C73C821" w14:textId="77777777" w:rsidR="007643EF" w:rsidRPr="007643EF" w:rsidRDefault="007643EF" w:rsidP="007643EF">
      <w:pPr>
        <w:autoSpaceDE w:val="0"/>
        <w:autoSpaceDN w:val="0"/>
        <w:adjustRightInd w:val="0"/>
        <w:jc w:val="both"/>
        <w:outlineLvl w:val="0"/>
        <w:rPr>
          <w:rFonts w:eastAsia="Calibri"/>
          <w:iCs w:val="0"/>
          <w:lang w:val="es-MX" w:eastAsia="en-US"/>
        </w:rPr>
      </w:pPr>
    </w:p>
    <w:p w14:paraId="0737C0E4" w14:textId="77777777" w:rsidR="007643EF" w:rsidRDefault="007643EF">
      <w:pPr>
        <w:rPr>
          <w:rFonts w:cs="Times New Roman"/>
          <w:b/>
          <w:iCs w:val="0"/>
          <w:szCs w:val="22"/>
          <w:lang w:val="es-MX" w:eastAsia="en-US"/>
        </w:rPr>
      </w:pPr>
      <w:r>
        <w:rPr>
          <w:rFonts w:cs="Times New Roman"/>
          <w:b/>
          <w:iCs w:val="0"/>
          <w:szCs w:val="22"/>
          <w:lang w:val="es-MX" w:eastAsia="en-US"/>
        </w:rPr>
        <w:br w:type="page"/>
      </w:r>
    </w:p>
    <w:p w14:paraId="4F0AD547" w14:textId="03E1C463"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Bases de preparación de los estados financieros</w:t>
      </w:r>
    </w:p>
    <w:p w14:paraId="6DA4E633" w14:textId="77777777" w:rsidR="007643EF" w:rsidRPr="007643EF" w:rsidRDefault="007643EF" w:rsidP="007643EF">
      <w:pPr>
        <w:autoSpaceDE w:val="0"/>
        <w:autoSpaceDN w:val="0"/>
        <w:adjustRightInd w:val="0"/>
        <w:jc w:val="both"/>
        <w:rPr>
          <w:rFonts w:eastAsia="Calibri"/>
          <w:iCs w:val="0"/>
          <w:lang w:val="es-MX" w:eastAsia="en-US"/>
        </w:rPr>
      </w:pPr>
    </w:p>
    <w:p w14:paraId="6A201176" w14:textId="77777777" w:rsidR="007643EF" w:rsidRPr="007643EF" w:rsidRDefault="007643EF" w:rsidP="007643EF">
      <w:pPr>
        <w:numPr>
          <w:ilvl w:val="1"/>
          <w:numId w:val="0"/>
        </w:numPr>
        <w:jc w:val="both"/>
        <w:rPr>
          <w:rFonts w:cs="Times New Roman"/>
          <w:b/>
          <w:szCs w:val="22"/>
          <w:lang w:val="es-MX" w:eastAsia="en-US"/>
        </w:rPr>
      </w:pPr>
      <w:r w:rsidRPr="007643EF">
        <w:rPr>
          <w:rFonts w:cs="Times New Roman"/>
          <w:b/>
          <w:iCs w:val="0"/>
          <w:szCs w:val="22"/>
          <w:lang w:val="es-MX" w:eastAsia="en-US"/>
        </w:rPr>
        <w:t>Marco Legal</w:t>
      </w:r>
    </w:p>
    <w:p w14:paraId="6B4ABB19" w14:textId="77777777" w:rsidR="007643EF" w:rsidRPr="007643EF" w:rsidRDefault="007643EF" w:rsidP="007643EF">
      <w:pPr>
        <w:autoSpaceDE w:val="0"/>
        <w:autoSpaceDN w:val="0"/>
        <w:adjustRightInd w:val="0"/>
        <w:jc w:val="both"/>
        <w:rPr>
          <w:rFonts w:eastAsia="Calibri"/>
          <w:i/>
          <w:lang w:val="es-MX" w:eastAsia="en-US"/>
        </w:rPr>
      </w:pPr>
    </w:p>
    <w:p w14:paraId="2CF8A91E"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entes públicos deberán realizar sus registros contables y en su caso la forma de elaborar y enviar los informes financieros a fin de consolidar la contabilidad del Gobierno del Estado. </w:t>
      </w:r>
    </w:p>
    <w:p w14:paraId="5A7CA143" w14:textId="77777777" w:rsidR="007643EF" w:rsidRPr="007643EF" w:rsidRDefault="007643EF" w:rsidP="007643EF">
      <w:pPr>
        <w:autoSpaceDE w:val="0"/>
        <w:autoSpaceDN w:val="0"/>
        <w:adjustRightInd w:val="0"/>
        <w:jc w:val="both"/>
        <w:outlineLvl w:val="0"/>
        <w:rPr>
          <w:rFonts w:eastAsia="Calibri"/>
          <w:i/>
          <w:lang w:val="es-MX" w:eastAsia="en-US"/>
        </w:rPr>
      </w:pPr>
    </w:p>
    <w:p w14:paraId="7A437E79"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Marco Normativo</w:t>
      </w:r>
    </w:p>
    <w:p w14:paraId="0A57E0D2" w14:textId="77777777" w:rsidR="007643EF" w:rsidRPr="007643EF" w:rsidRDefault="007643EF" w:rsidP="007643EF">
      <w:pPr>
        <w:autoSpaceDE w:val="0"/>
        <w:autoSpaceDN w:val="0"/>
        <w:adjustRightInd w:val="0"/>
        <w:jc w:val="both"/>
        <w:rPr>
          <w:rFonts w:eastAsia="Calibri"/>
          <w:iCs w:val="0"/>
          <w:lang w:val="es-MX" w:eastAsia="en-US"/>
        </w:rPr>
      </w:pPr>
    </w:p>
    <w:p w14:paraId="68588B50"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14:paraId="27E570A7" w14:textId="77777777" w:rsidR="007643EF" w:rsidRPr="007643EF" w:rsidRDefault="007643EF" w:rsidP="007643EF">
      <w:pPr>
        <w:autoSpaceDE w:val="0"/>
        <w:autoSpaceDN w:val="0"/>
        <w:adjustRightInd w:val="0"/>
        <w:jc w:val="both"/>
        <w:rPr>
          <w:rFonts w:eastAsia="Calibri"/>
          <w:iCs w:val="0"/>
          <w:lang w:val="es-MX" w:eastAsia="en-US"/>
        </w:rPr>
      </w:pPr>
    </w:p>
    <w:p w14:paraId="281F826C"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La normatividad contable, la normatividad financiera, normas presupuestarias y otras auxiliares como las normas y tarifas de viáticos,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BDB3536" w14:textId="77777777" w:rsidR="007643EF" w:rsidRPr="007643EF" w:rsidRDefault="007643EF" w:rsidP="007643EF">
      <w:pPr>
        <w:autoSpaceDE w:val="0"/>
        <w:autoSpaceDN w:val="0"/>
        <w:adjustRightInd w:val="0"/>
        <w:jc w:val="both"/>
        <w:rPr>
          <w:rFonts w:eastAsia="Calibri"/>
          <w:iCs w:val="0"/>
          <w:lang w:val="es-MX" w:eastAsia="en-US"/>
        </w:rPr>
      </w:pPr>
    </w:p>
    <w:p w14:paraId="0395398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0ECBB806" w14:textId="77777777" w:rsidR="007643EF" w:rsidRPr="007643EF" w:rsidRDefault="007643EF" w:rsidP="007643EF">
      <w:pPr>
        <w:autoSpaceDE w:val="0"/>
        <w:autoSpaceDN w:val="0"/>
        <w:adjustRightInd w:val="0"/>
        <w:jc w:val="both"/>
        <w:rPr>
          <w:rFonts w:eastAsia="Calibri"/>
          <w:iCs w:val="0"/>
          <w:lang w:val="es-MX" w:eastAsia="en-US"/>
        </w:rPr>
      </w:pPr>
    </w:p>
    <w:p w14:paraId="385F6D76"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Presentación</w:t>
      </w:r>
    </w:p>
    <w:p w14:paraId="3FF712F2" w14:textId="77777777" w:rsidR="007643EF" w:rsidRPr="007643EF" w:rsidRDefault="007643EF" w:rsidP="007643EF">
      <w:pPr>
        <w:autoSpaceDE w:val="0"/>
        <w:autoSpaceDN w:val="0"/>
        <w:adjustRightInd w:val="0"/>
        <w:jc w:val="both"/>
        <w:rPr>
          <w:rFonts w:eastAsia="Calibri"/>
          <w:iCs w:val="0"/>
          <w:lang w:val="es-MX" w:eastAsia="en-US"/>
        </w:rPr>
      </w:pPr>
    </w:p>
    <w:p w14:paraId="049EA7E8"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559C2887" w14:textId="77777777" w:rsidR="007643EF" w:rsidRPr="007643EF" w:rsidRDefault="007643EF" w:rsidP="007643EF">
      <w:pPr>
        <w:autoSpaceDE w:val="0"/>
        <w:autoSpaceDN w:val="0"/>
        <w:adjustRightInd w:val="0"/>
        <w:jc w:val="both"/>
        <w:rPr>
          <w:rFonts w:eastAsia="Calibri"/>
          <w:iCs w:val="0"/>
          <w:lang w:val="es-MX" w:eastAsia="en-US"/>
        </w:rPr>
      </w:pPr>
    </w:p>
    <w:p w14:paraId="62CB9430"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Preparación</w:t>
      </w:r>
    </w:p>
    <w:p w14:paraId="3700EAC7" w14:textId="77777777" w:rsidR="007643EF" w:rsidRPr="007643EF" w:rsidRDefault="007643EF" w:rsidP="007643EF">
      <w:pPr>
        <w:autoSpaceDE w:val="0"/>
        <w:autoSpaceDN w:val="0"/>
        <w:adjustRightInd w:val="0"/>
        <w:jc w:val="both"/>
        <w:rPr>
          <w:rFonts w:eastAsia="Calibri"/>
          <w:iCs w:val="0"/>
          <w:lang w:val="es-MX" w:eastAsia="en-US"/>
        </w:rPr>
      </w:pPr>
    </w:p>
    <w:p w14:paraId="393B990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Para la integración de los estados financieros del Gobierno Estatal, los saldos se determinaron a partir de la información proporcionada por cada uno de los centros contables de las dependencias y órganos desconcentrados, que conforman los poderes Ejecutivo, Legislativo y Judicial, y los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14:paraId="3E69847E" w14:textId="77777777" w:rsidR="007643EF" w:rsidRPr="007643EF" w:rsidRDefault="007643EF" w:rsidP="007643EF">
      <w:pPr>
        <w:autoSpaceDE w:val="0"/>
        <w:autoSpaceDN w:val="0"/>
        <w:adjustRightInd w:val="0"/>
        <w:jc w:val="both"/>
        <w:rPr>
          <w:rFonts w:eastAsia="Calibri"/>
          <w:iCs w:val="0"/>
          <w:lang w:val="es-MX" w:eastAsia="en-US"/>
        </w:rPr>
      </w:pPr>
    </w:p>
    <w:p w14:paraId="710CBA66"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1057D916" w14:textId="77777777" w:rsidR="007643EF" w:rsidRPr="007643EF" w:rsidRDefault="007643EF" w:rsidP="007643EF">
      <w:pPr>
        <w:autoSpaceDE w:val="0"/>
        <w:autoSpaceDN w:val="0"/>
        <w:adjustRightInd w:val="0"/>
        <w:jc w:val="both"/>
        <w:rPr>
          <w:rFonts w:eastAsia="Calibri"/>
          <w:iCs w:val="0"/>
          <w:lang w:val="es-MX" w:eastAsia="en-US"/>
        </w:rPr>
      </w:pPr>
    </w:p>
    <w:p w14:paraId="152FE88D"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Al 31 de diciembre de 2023,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emitidos por el </w:t>
      </w:r>
      <w:r w:rsidRPr="007643EF">
        <w:rPr>
          <w:rFonts w:eastAsia="Calibri"/>
          <w:iCs w:val="0"/>
          <w:lang w:val="es-MX" w:eastAsia="en-US"/>
        </w:rPr>
        <w:lastRenderedPageBreak/>
        <w:t>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69F92E9B" w14:textId="77777777" w:rsidR="007643EF" w:rsidRPr="007643EF" w:rsidRDefault="007643EF" w:rsidP="007643EF">
      <w:pPr>
        <w:autoSpaceDE w:val="0"/>
        <w:autoSpaceDN w:val="0"/>
        <w:adjustRightInd w:val="0"/>
        <w:jc w:val="both"/>
        <w:rPr>
          <w:rFonts w:eastAsia="Calibri"/>
          <w:iCs w:val="0"/>
          <w:lang w:val="es-MX" w:eastAsia="en-US"/>
        </w:rPr>
      </w:pPr>
    </w:p>
    <w:p w14:paraId="177DD1CB"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Se incorporan en la contabilidad los momentos contables de los ingresos y de los egresos, considerando además las normas y metodología para la emisión de información financiera.</w:t>
      </w:r>
    </w:p>
    <w:p w14:paraId="50E61849" w14:textId="77777777" w:rsidR="007643EF" w:rsidRPr="007643EF" w:rsidRDefault="007643EF" w:rsidP="007643EF">
      <w:pPr>
        <w:autoSpaceDE w:val="0"/>
        <w:autoSpaceDN w:val="0"/>
        <w:adjustRightInd w:val="0"/>
        <w:jc w:val="both"/>
        <w:rPr>
          <w:rFonts w:eastAsia="Calibri"/>
          <w:iCs w:val="0"/>
          <w:lang w:val="es-MX" w:eastAsia="en-US"/>
        </w:rPr>
      </w:pPr>
    </w:p>
    <w:p w14:paraId="263E838F"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Políticas de contabilidad significativas</w:t>
      </w:r>
    </w:p>
    <w:p w14:paraId="4749D306" w14:textId="77777777" w:rsidR="007643EF" w:rsidRPr="007643EF" w:rsidRDefault="007643EF" w:rsidP="007643EF">
      <w:pPr>
        <w:autoSpaceDE w:val="0"/>
        <w:autoSpaceDN w:val="0"/>
        <w:adjustRightInd w:val="0"/>
        <w:jc w:val="both"/>
        <w:rPr>
          <w:rFonts w:eastAsia="Calibri"/>
          <w:iCs w:val="0"/>
          <w:lang w:val="es-MX" w:eastAsia="en-US"/>
        </w:rPr>
      </w:pPr>
    </w:p>
    <w:p w14:paraId="7631715B"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El “Sistema de Contabilidad Gubernamental” (SCG), regula las operaciones realizadas en cada ente público, 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61D6AAA4" w14:textId="77777777" w:rsidR="007643EF" w:rsidRPr="007643EF" w:rsidRDefault="007643EF" w:rsidP="007643EF">
      <w:pPr>
        <w:tabs>
          <w:tab w:val="left" w:pos="5280"/>
        </w:tabs>
        <w:jc w:val="both"/>
        <w:rPr>
          <w:rFonts w:eastAsia="Calibri"/>
          <w:iCs w:val="0"/>
          <w:lang w:val="es-MX" w:eastAsia="en-US"/>
        </w:rPr>
      </w:pPr>
    </w:p>
    <w:p w14:paraId="035D35B7"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 xml:space="preserve">El SCG está integrado de cuatro subsistemas relacionados entre sí por medio de mecanismos de vinculación y de consolidación de la información, estos subsistemas son </w:t>
      </w:r>
      <w:r w:rsidRPr="007643EF">
        <w:rPr>
          <w:rFonts w:eastAsia="Calibri"/>
          <w:b/>
          <w:bCs/>
          <w:iCs w:val="0"/>
          <w:lang w:val="es-MX" w:eastAsia="en-US"/>
        </w:rPr>
        <w:t>ingresos,</w:t>
      </w:r>
      <w:r w:rsidRPr="007643EF">
        <w:rPr>
          <w:rFonts w:eastAsia="Calibri"/>
          <w:iCs w:val="0"/>
          <w:lang w:val="es-MX" w:eastAsia="en-US"/>
        </w:rPr>
        <w:t xml:space="preserve"> el cual se encarga de registrar los ingresos públicos establecidos en ley, </w:t>
      </w:r>
      <w:r w:rsidRPr="007643EF">
        <w:rPr>
          <w:rFonts w:eastAsia="Calibri"/>
          <w:b/>
          <w:bCs/>
          <w:iCs w:val="0"/>
          <w:lang w:val="es-MX" w:eastAsia="en-US"/>
        </w:rPr>
        <w:t>fondos estatales</w:t>
      </w:r>
      <w:r w:rsidRPr="007643EF">
        <w:rPr>
          <w:rFonts w:eastAsia="Calibri"/>
          <w:iCs w:val="0"/>
          <w:lang w:val="es-MX" w:eastAsia="en-US"/>
        </w:rPr>
        <w:t xml:space="preserve">, subsistema que administra y controla los recursos monetarios del erario estatal, </w:t>
      </w:r>
      <w:r w:rsidRPr="007643EF">
        <w:rPr>
          <w:rFonts w:eastAsia="Calibri"/>
          <w:b/>
          <w:bCs/>
          <w:iCs w:val="0"/>
          <w:lang w:val="es-MX" w:eastAsia="en-US"/>
        </w:rPr>
        <w:t>egresos</w:t>
      </w:r>
      <w:r w:rsidRPr="007643EF">
        <w:rPr>
          <w:rFonts w:eastAsia="Calibri"/>
          <w:iCs w:val="0"/>
          <w:lang w:val="es-MX" w:eastAsia="en-US"/>
        </w:rPr>
        <w:t xml:space="preserve">, registra todas las erogaciones que se establecen dentro del presupuesto de egresos del Estado y por último </w:t>
      </w:r>
      <w:r w:rsidRPr="007643EF">
        <w:rPr>
          <w:rFonts w:eastAsia="Calibri"/>
          <w:b/>
          <w:bCs/>
          <w:iCs w:val="0"/>
          <w:lang w:val="es-MX" w:eastAsia="en-US"/>
        </w:rPr>
        <w:t>deuda pública,</w:t>
      </w:r>
      <w:r w:rsidRPr="007643EF">
        <w:rPr>
          <w:rFonts w:eastAsia="Calibri"/>
          <w:iCs w:val="0"/>
          <w:lang w:val="es-MX" w:eastAsia="en-US"/>
        </w:rPr>
        <w:t xml:space="preserve"> quien registra las operaciones derivadas de la administración de la deuda. </w:t>
      </w:r>
    </w:p>
    <w:p w14:paraId="29E262AE" w14:textId="77777777" w:rsidR="007643EF" w:rsidRPr="007643EF" w:rsidRDefault="007643EF" w:rsidP="007643EF">
      <w:pPr>
        <w:tabs>
          <w:tab w:val="left" w:pos="5280"/>
        </w:tabs>
        <w:jc w:val="both"/>
        <w:rPr>
          <w:rFonts w:eastAsia="Calibri"/>
          <w:iCs w:val="0"/>
          <w:lang w:val="es-MX" w:eastAsia="en-US"/>
        </w:rPr>
      </w:pPr>
    </w:p>
    <w:p w14:paraId="6CF085B3"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 xml:space="preserve">El registro de las operaciones está en apego a los Postulados Básicos de Contabilidad Gubernamental y a las normas y manuales vigentes; las dependencias del Gobierno central, poderes Legislativo y Judicial, y órganos autónomos como responsables de realizar sus registros contables producto de las operaciones que realizan, registran los gastos como tales en el momento en que se devenguen y los ingresos en el momento en que se tenga el derecho jurídico a percibirlos. </w:t>
      </w:r>
    </w:p>
    <w:p w14:paraId="624611B8" w14:textId="77777777" w:rsidR="007643EF" w:rsidRPr="007643EF" w:rsidRDefault="007643EF" w:rsidP="007643EF">
      <w:pPr>
        <w:jc w:val="both"/>
        <w:rPr>
          <w:rFonts w:eastAsia="Calibri"/>
          <w:iCs w:val="0"/>
          <w:lang w:val="es-MX" w:eastAsia="en-US"/>
        </w:rPr>
      </w:pPr>
    </w:p>
    <w:p w14:paraId="3522BD0D"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 xml:space="preserve">Los libros obligatorios de acuerdo a la normatividad contable, en donde deben registrar las operaciones que realizan los entes públicos son: el </w:t>
      </w:r>
      <w:r w:rsidRPr="007643EF">
        <w:rPr>
          <w:rFonts w:eastAsia="Calibri"/>
          <w:bCs/>
          <w:iCs w:val="0"/>
          <w:lang w:val="es-MX" w:eastAsia="en-US"/>
        </w:rPr>
        <w:t xml:space="preserve">libro diario, libro mayor, libro de inventarios, libro de almacén, y balances, </w:t>
      </w:r>
      <w:r w:rsidRPr="007643EF">
        <w:rPr>
          <w:rFonts w:eastAsia="Calibri"/>
          <w:iCs w:val="0"/>
          <w:lang w:val="es-MX" w:eastAsia="en-US"/>
        </w:rPr>
        <w:t>los cuales contienen y conservan información financiera, hechos y cifras expresados en unidades monetarias, para facilitar la toma de decisiones.</w:t>
      </w:r>
    </w:p>
    <w:p w14:paraId="10BB6335" w14:textId="77777777" w:rsidR="007643EF" w:rsidRPr="007643EF" w:rsidRDefault="007643EF" w:rsidP="007643EF">
      <w:pPr>
        <w:jc w:val="both"/>
        <w:rPr>
          <w:rFonts w:eastAsia="Calibri"/>
          <w:iCs w:val="0"/>
          <w:lang w:val="es-MX" w:eastAsia="en-US"/>
        </w:rPr>
      </w:pPr>
    </w:p>
    <w:p w14:paraId="7FD9A6AA"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El control interno comprende el plan de organización y todos los métodos y procedimientos que en forma coordinada adoptan los entes públicos para salvaguardar los activos, verificar la razonabilidad y confiabilidad de la información contable, y promover la eficiencia operacional y la adherencia a la normatividad vigente.</w:t>
      </w:r>
    </w:p>
    <w:p w14:paraId="5BDBD3B9" w14:textId="77777777" w:rsidR="007643EF" w:rsidRPr="007643EF" w:rsidRDefault="007643EF" w:rsidP="007643EF">
      <w:pPr>
        <w:jc w:val="both"/>
        <w:rPr>
          <w:rFonts w:eastAsia="Calibri"/>
          <w:iCs w:val="0"/>
          <w:lang w:val="es-MX" w:eastAsia="en-US"/>
        </w:rPr>
      </w:pPr>
    </w:p>
    <w:p w14:paraId="1B5645BD"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La consolidación de información financiera, es el resultado en su conjunto de la agrupación de la información financiera que generan los entes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57BE1BDB" w14:textId="77777777" w:rsidR="007643EF" w:rsidRPr="007643EF" w:rsidRDefault="007643EF" w:rsidP="007643EF">
      <w:pPr>
        <w:tabs>
          <w:tab w:val="left" w:pos="5280"/>
        </w:tabs>
        <w:jc w:val="both"/>
        <w:rPr>
          <w:rFonts w:eastAsia="Calibri"/>
          <w:iCs w:val="0"/>
          <w:lang w:val="es-MX" w:eastAsia="en-US"/>
        </w:rPr>
      </w:pPr>
    </w:p>
    <w:p w14:paraId="333F833E"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Posición en moneda extranjera y protección por riesgo cambiario</w:t>
      </w:r>
    </w:p>
    <w:p w14:paraId="269A9D78" w14:textId="77777777" w:rsidR="007643EF" w:rsidRPr="007643EF" w:rsidRDefault="007643EF" w:rsidP="007643EF">
      <w:pPr>
        <w:autoSpaceDE w:val="0"/>
        <w:autoSpaceDN w:val="0"/>
        <w:adjustRightInd w:val="0"/>
        <w:jc w:val="both"/>
        <w:rPr>
          <w:rFonts w:eastAsia="Calibri"/>
          <w:iCs w:val="0"/>
          <w:lang w:val="es-MX" w:eastAsia="en-US"/>
        </w:rPr>
      </w:pPr>
    </w:p>
    <w:p w14:paraId="1497C410"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Al 31 de diciembre de 2023, el Gobierno del estado de Chiapas, no tiene operaciones en moneda extranjera, por lo que no se crean activos y pasivos, ni se tiene posición en moneda extranjera, además, no existe riesgo cambiario, que pueda ejercer influencia en la toma de decisiones.</w:t>
      </w:r>
    </w:p>
    <w:p w14:paraId="1D494785" w14:textId="77777777" w:rsidR="007643EF" w:rsidRPr="007643EF" w:rsidRDefault="007643EF" w:rsidP="007643EF">
      <w:pPr>
        <w:autoSpaceDE w:val="0"/>
        <w:autoSpaceDN w:val="0"/>
        <w:adjustRightInd w:val="0"/>
        <w:jc w:val="both"/>
        <w:outlineLvl w:val="0"/>
        <w:rPr>
          <w:rFonts w:eastAsia="Calibri"/>
          <w:b/>
          <w:bCs/>
          <w:iCs w:val="0"/>
          <w:lang w:val="es-MX" w:eastAsia="en-US"/>
        </w:rPr>
      </w:pPr>
    </w:p>
    <w:p w14:paraId="1F498B84"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Reporte analítico del activo</w:t>
      </w:r>
    </w:p>
    <w:p w14:paraId="637A0464" w14:textId="77777777" w:rsidR="007643EF" w:rsidRPr="007643EF" w:rsidRDefault="007643EF" w:rsidP="007643EF">
      <w:pPr>
        <w:jc w:val="both"/>
        <w:rPr>
          <w:rFonts w:eastAsia="Calibri"/>
          <w:iCs w:val="0"/>
          <w:lang w:val="es-MX" w:eastAsia="en-US"/>
        </w:rPr>
      </w:pPr>
    </w:p>
    <w:p w14:paraId="5B076E6E"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por el Consejo Nacional de Armonización Contable (CONAC).</w:t>
      </w:r>
    </w:p>
    <w:p w14:paraId="472466B3" w14:textId="77777777" w:rsidR="007643EF" w:rsidRPr="007643EF" w:rsidRDefault="007643EF" w:rsidP="007643EF">
      <w:pPr>
        <w:numPr>
          <w:ilvl w:val="1"/>
          <w:numId w:val="0"/>
        </w:numPr>
        <w:jc w:val="both"/>
        <w:rPr>
          <w:rFonts w:cs="Times New Roman"/>
          <w:b/>
          <w:iCs w:val="0"/>
          <w:szCs w:val="22"/>
          <w:lang w:val="es-MX" w:eastAsia="en-US"/>
        </w:rPr>
      </w:pPr>
    </w:p>
    <w:p w14:paraId="046ABE92" w14:textId="77777777" w:rsidR="007643EF" w:rsidRDefault="007643EF">
      <w:pPr>
        <w:rPr>
          <w:rFonts w:cs="Times New Roman"/>
          <w:b/>
          <w:iCs w:val="0"/>
          <w:szCs w:val="22"/>
          <w:lang w:val="es-MX" w:eastAsia="en-US"/>
        </w:rPr>
      </w:pPr>
      <w:r>
        <w:rPr>
          <w:rFonts w:cs="Times New Roman"/>
          <w:b/>
          <w:iCs w:val="0"/>
          <w:szCs w:val="22"/>
          <w:lang w:val="es-MX" w:eastAsia="en-US"/>
        </w:rPr>
        <w:br w:type="page"/>
      </w:r>
    </w:p>
    <w:p w14:paraId="5A84BAB7" w14:textId="00EFA3C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Fideicomisos, mandatos y análogos</w:t>
      </w:r>
    </w:p>
    <w:p w14:paraId="30FBE895" w14:textId="77777777" w:rsidR="007643EF" w:rsidRPr="007643EF" w:rsidRDefault="007643EF" w:rsidP="007643EF">
      <w:pPr>
        <w:autoSpaceDE w:val="0"/>
        <w:autoSpaceDN w:val="0"/>
        <w:adjustRightInd w:val="0"/>
        <w:jc w:val="both"/>
        <w:outlineLvl w:val="0"/>
        <w:rPr>
          <w:rFonts w:eastAsia="Calibri"/>
          <w:b/>
          <w:bCs/>
          <w:iCs w:val="0"/>
          <w:lang w:val="es-MX" w:eastAsia="en-US"/>
        </w:rPr>
      </w:pPr>
    </w:p>
    <w:p w14:paraId="4B165766"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Los fideicomisos, mandatos y contratos análogos presentados en los estados financieros del Gobierno del estado de Chiapas, ascienden a un importe de 753.9 millones de pesos y se encuentran registrados en el activo no circulante, los cuales se muestran a continuación:</w:t>
      </w:r>
    </w:p>
    <w:p w14:paraId="3323B188" w14:textId="77777777" w:rsidR="007643EF" w:rsidRPr="007643EF" w:rsidRDefault="007643EF" w:rsidP="007643EF">
      <w:pPr>
        <w:autoSpaceDE w:val="0"/>
        <w:autoSpaceDN w:val="0"/>
        <w:adjustRightInd w:val="0"/>
        <w:jc w:val="both"/>
        <w:rPr>
          <w:rFonts w:eastAsia="Calibri"/>
          <w:iCs w:val="0"/>
          <w:lang w:val="es-MX" w:eastAsia="en-US"/>
        </w:rPr>
      </w:pPr>
    </w:p>
    <w:p w14:paraId="7B5E8133" w14:textId="68420E90" w:rsidR="007643EF" w:rsidRPr="007643EF" w:rsidRDefault="007643EF" w:rsidP="007643EF">
      <w:pPr>
        <w:autoSpaceDE w:val="0"/>
        <w:autoSpaceDN w:val="0"/>
        <w:adjustRightInd w:val="0"/>
        <w:jc w:val="both"/>
        <w:rPr>
          <w:rFonts w:eastAsia="Calibri"/>
          <w:iCs w:val="0"/>
          <w:noProof/>
          <w:lang w:val="es-MX" w:eastAsia="es-MX"/>
        </w:rPr>
      </w:pPr>
      <w:r w:rsidRPr="007643EF">
        <w:rPr>
          <w:rFonts w:eastAsia="Calibri"/>
        </w:rPr>
        <w:drawing>
          <wp:inline distT="0" distB="0" distL="0" distR="0" wp14:anchorId="48D2BB0C" wp14:editId="2ABC6983">
            <wp:extent cx="6692900" cy="6315710"/>
            <wp:effectExtent l="0" t="0" r="0" b="889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2900" cy="6315710"/>
                    </a:xfrm>
                    <a:prstGeom prst="rect">
                      <a:avLst/>
                    </a:prstGeom>
                    <a:noFill/>
                    <a:ln>
                      <a:noFill/>
                    </a:ln>
                  </pic:spPr>
                </pic:pic>
              </a:graphicData>
            </a:graphic>
          </wp:inline>
        </w:drawing>
      </w:r>
    </w:p>
    <w:p w14:paraId="738F76B6" w14:textId="77777777" w:rsidR="007643EF" w:rsidRPr="007643EF" w:rsidRDefault="007643EF" w:rsidP="007643EF">
      <w:pPr>
        <w:numPr>
          <w:ilvl w:val="1"/>
          <w:numId w:val="0"/>
        </w:numPr>
        <w:jc w:val="both"/>
        <w:rPr>
          <w:rFonts w:cs="Times New Roman"/>
          <w:b/>
          <w:iCs w:val="0"/>
          <w:szCs w:val="22"/>
          <w:lang w:val="es-MX" w:eastAsia="en-US"/>
        </w:rPr>
      </w:pPr>
    </w:p>
    <w:p w14:paraId="01A6AE52" w14:textId="77777777" w:rsidR="007643EF" w:rsidRPr="007643EF" w:rsidRDefault="007643EF" w:rsidP="007643EF">
      <w:pPr>
        <w:numPr>
          <w:ilvl w:val="1"/>
          <w:numId w:val="0"/>
        </w:numPr>
        <w:jc w:val="both"/>
        <w:rPr>
          <w:rFonts w:cs="Times New Roman"/>
          <w:b/>
          <w:iCs w:val="0"/>
          <w:szCs w:val="22"/>
          <w:lang w:val="es-MX" w:eastAsia="en-US"/>
        </w:rPr>
      </w:pPr>
    </w:p>
    <w:p w14:paraId="727A3403"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Reporte de la recaudación</w:t>
      </w:r>
    </w:p>
    <w:p w14:paraId="552A4815" w14:textId="77777777" w:rsidR="007643EF" w:rsidRPr="007643EF" w:rsidRDefault="007643EF" w:rsidP="007643EF">
      <w:pPr>
        <w:autoSpaceDE w:val="0"/>
        <w:autoSpaceDN w:val="0"/>
        <w:adjustRightInd w:val="0"/>
        <w:jc w:val="both"/>
        <w:rPr>
          <w:rFonts w:eastAsia="Calibri"/>
          <w:iCs w:val="0"/>
          <w:lang w:val="es-MX" w:eastAsia="en-US"/>
        </w:rPr>
      </w:pPr>
    </w:p>
    <w:p w14:paraId="521C2FB6"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Análisis del comportamiento de la recaudación.</w:t>
      </w:r>
    </w:p>
    <w:p w14:paraId="1E5F2A0B" w14:textId="77777777" w:rsidR="007643EF" w:rsidRPr="007643EF" w:rsidRDefault="007643EF" w:rsidP="007643EF">
      <w:pPr>
        <w:tabs>
          <w:tab w:val="left" w:pos="5280"/>
        </w:tabs>
        <w:jc w:val="both"/>
        <w:rPr>
          <w:rFonts w:eastAsia="Calibri"/>
          <w:iCs w:val="0"/>
          <w:lang w:val="es-MX" w:eastAsia="en-US"/>
        </w:rPr>
      </w:pPr>
    </w:p>
    <w:p w14:paraId="43DCA211"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 xml:space="preserve">Los ingresos obtenidos al 31 de diciembre de 2023, como resultado de la política de recaudación aplicada por el Gobierno Estatal, asciende a un monto de 136 mil 885.2 millones de pesos, los cuales se integran principalmente por ingresos de la gestión por un importe de 136 mil 855.9 millones de pesos y representa el 99.9 % del total de los ingresos presentados en el estado de actividades consolidado, entre los que destacan los provenientes de participaciones, </w:t>
      </w:r>
      <w:r w:rsidRPr="007643EF">
        <w:rPr>
          <w:rFonts w:eastAsia="Calibri"/>
          <w:iCs w:val="0"/>
          <w:lang w:val="es-MX" w:eastAsia="en-US"/>
        </w:rPr>
        <w:lastRenderedPageBreak/>
        <w:t>aportaciones, convenios, incentivos derivados de la colaboración fiscal y fondos distintos de aportaciones, así como, transferencias, asignaciones, subsidios y subvenciones, y pensiones y jubilaciones; y en menor medida los derivados de otros ingresos y beneficios, por un importe de 29.3 millones de pesos y equivale al 0.1 % del total de los ingresos.</w:t>
      </w:r>
    </w:p>
    <w:p w14:paraId="02423741" w14:textId="77777777" w:rsidR="007643EF" w:rsidRPr="007643EF" w:rsidRDefault="007643EF" w:rsidP="007643EF">
      <w:pPr>
        <w:tabs>
          <w:tab w:val="left" w:pos="5280"/>
        </w:tabs>
        <w:jc w:val="both"/>
        <w:rPr>
          <w:rFonts w:eastAsia="Calibri"/>
          <w:iCs w:val="0"/>
          <w:lang w:val="es-MX" w:eastAsia="en-US"/>
        </w:rPr>
      </w:pPr>
    </w:p>
    <w:p w14:paraId="414E5A42" w14:textId="2EB2177A" w:rsidR="007643EF" w:rsidRPr="007643EF" w:rsidRDefault="007643EF" w:rsidP="007643EF">
      <w:pPr>
        <w:tabs>
          <w:tab w:val="left" w:pos="5280"/>
        </w:tabs>
        <w:jc w:val="both"/>
        <w:rPr>
          <w:rFonts w:eastAsia="Calibri"/>
          <w:iCs w:val="0"/>
          <w:lang w:val="es-MX" w:eastAsia="en-US"/>
        </w:rPr>
      </w:pPr>
      <w:r w:rsidRPr="007643EF">
        <w:rPr>
          <w:rFonts w:eastAsia="Calibri"/>
        </w:rPr>
        <w:drawing>
          <wp:inline distT="0" distB="0" distL="0" distR="0" wp14:anchorId="56C43BA1" wp14:editId="45E57F45">
            <wp:extent cx="6692900" cy="35052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2900" cy="3505200"/>
                    </a:xfrm>
                    <a:prstGeom prst="rect">
                      <a:avLst/>
                    </a:prstGeom>
                    <a:noFill/>
                    <a:ln>
                      <a:noFill/>
                    </a:ln>
                  </pic:spPr>
                </pic:pic>
              </a:graphicData>
            </a:graphic>
          </wp:inline>
        </w:drawing>
      </w:r>
    </w:p>
    <w:p w14:paraId="75E95ECE" w14:textId="77777777" w:rsidR="007643EF" w:rsidRPr="007643EF" w:rsidRDefault="007643EF" w:rsidP="007643EF">
      <w:pPr>
        <w:numPr>
          <w:ilvl w:val="1"/>
          <w:numId w:val="0"/>
        </w:numPr>
        <w:jc w:val="both"/>
        <w:rPr>
          <w:rFonts w:cs="Times New Roman"/>
          <w:b/>
          <w:iCs w:val="0"/>
          <w:szCs w:val="22"/>
          <w:lang w:val="es-MX" w:eastAsia="en-US"/>
        </w:rPr>
      </w:pPr>
    </w:p>
    <w:p w14:paraId="14E70AF6"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Información sobre la deuda y el reporte analítico de la deuda</w:t>
      </w:r>
    </w:p>
    <w:p w14:paraId="7E9C383C" w14:textId="77777777" w:rsidR="007643EF" w:rsidRPr="007643EF" w:rsidRDefault="007643EF" w:rsidP="007643EF">
      <w:pPr>
        <w:tabs>
          <w:tab w:val="left" w:pos="5280"/>
        </w:tabs>
        <w:jc w:val="both"/>
        <w:rPr>
          <w:rFonts w:eastAsia="Calibri"/>
          <w:iCs w:val="0"/>
          <w:lang w:val="es-MX" w:eastAsia="en-US"/>
        </w:rPr>
      </w:pPr>
    </w:p>
    <w:p w14:paraId="4A2650D4"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El reporte analítico de la deuda, muestra la información revelada de las operaciones de crédito público, por un importe de 14 mil 594.1 millones de pesos, con intereses de 1 mil 562.6 millones de pesos, y otros gastos de la deuda pública por 13.5 millones de pesos.</w:t>
      </w:r>
    </w:p>
    <w:p w14:paraId="3AF7B8BF" w14:textId="77777777" w:rsidR="007643EF" w:rsidRPr="007643EF" w:rsidRDefault="007643EF" w:rsidP="007643EF">
      <w:pPr>
        <w:tabs>
          <w:tab w:val="left" w:pos="5280"/>
        </w:tabs>
        <w:jc w:val="both"/>
        <w:rPr>
          <w:rFonts w:eastAsia="Calibri"/>
          <w:iCs w:val="0"/>
          <w:lang w:val="es-MX" w:eastAsia="en-US"/>
        </w:rPr>
      </w:pPr>
    </w:p>
    <w:p w14:paraId="4C774829" w14:textId="5523F1A3" w:rsidR="007643EF" w:rsidRPr="007643EF" w:rsidRDefault="007643EF" w:rsidP="007643EF">
      <w:pPr>
        <w:tabs>
          <w:tab w:val="left" w:pos="5280"/>
        </w:tabs>
        <w:jc w:val="both"/>
        <w:rPr>
          <w:rFonts w:eastAsia="Calibri"/>
          <w:iCs w:val="0"/>
          <w:lang w:val="es-MX" w:eastAsia="en-US"/>
        </w:rPr>
      </w:pPr>
      <w:r w:rsidRPr="007643EF">
        <w:rPr>
          <w:rFonts w:eastAsia="Calibri"/>
        </w:rPr>
        <w:drawing>
          <wp:inline distT="0" distB="0" distL="0" distR="0" wp14:anchorId="2E70915A" wp14:editId="64E106D6">
            <wp:extent cx="6692900" cy="353377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2900" cy="3533775"/>
                    </a:xfrm>
                    <a:prstGeom prst="rect">
                      <a:avLst/>
                    </a:prstGeom>
                    <a:noFill/>
                    <a:ln>
                      <a:noFill/>
                    </a:ln>
                  </pic:spPr>
                </pic:pic>
              </a:graphicData>
            </a:graphic>
          </wp:inline>
        </w:drawing>
      </w:r>
    </w:p>
    <w:p w14:paraId="27B33933"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lastRenderedPageBreak/>
        <w:t>Así también, se presentan los indicadores de la deuda pública con respecto al Producto Interno Bruto (PIB), los cuales reflejan la siguiente evolución, al 31 de diciembre de 2023.</w:t>
      </w:r>
    </w:p>
    <w:p w14:paraId="21A62967" w14:textId="77777777" w:rsidR="007643EF" w:rsidRPr="007643EF" w:rsidRDefault="007643EF" w:rsidP="007643EF">
      <w:pPr>
        <w:tabs>
          <w:tab w:val="left" w:pos="5280"/>
        </w:tabs>
        <w:jc w:val="both"/>
        <w:rPr>
          <w:rFonts w:eastAsia="Calibri"/>
          <w:iCs w:val="0"/>
          <w:lang w:val="es-MX" w:eastAsia="en-US"/>
        </w:rPr>
      </w:pPr>
    </w:p>
    <w:p w14:paraId="7E8F2004" w14:textId="39B6F142" w:rsidR="007643EF" w:rsidRPr="007643EF" w:rsidRDefault="007643EF" w:rsidP="007643EF">
      <w:pPr>
        <w:jc w:val="both"/>
        <w:rPr>
          <w:rFonts w:eastAsia="Calibri"/>
          <w:b/>
          <w:bCs/>
          <w:iCs w:val="0"/>
          <w:caps/>
          <w:lang w:val="es-MX" w:eastAsia="en-US"/>
        </w:rPr>
      </w:pPr>
      <w:r w:rsidRPr="007643EF">
        <w:rPr>
          <w:rFonts w:eastAsia="Calibri"/>
        </w:rPr>
        <w:drawing>
          <wp:inline distT="0" distB="0" distL="0" distR="0" wp14:anchorId="4AEC2D0E" wp14:editId="48DAD22F">
            <wp:extent cx="6692900" cy="1743710"/>
            <wp:effectExtent l="0" t="0" r="0" b="889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900" cy="1743710"/>
                    </a:xfrm>
                    <a:prstGeom prst="rect">
                      <a:avLst/>
                    </a:prstGeom>
                    <a:noFill/>
                    <a:ln>
                      <a:noFill/>
                    </a:ln>
                  </pic:spPr>
                </pic:pic>
              </a:graphicData>
            </a:graphic>
          </wp:inline>
        </w:drawing>
      </w:r>
    </w:p>
    <w:p w14:paraId="53CC4438" w14:textId="77777777" w:rsidR="007643EF" w:rsidRPr="007643EF" w:rsidRDefault="007643EF" w:rsidP="007643EF">
      <w:pPr>
        <w:numPr>
          <w:ilvl w:val="1"/>
          <w:numId w:val="0"/>
        </w:numPr>
        <w:jc w:val="both"/>
        <w:rPr>
          <w:rFonts w:cs="Times New Roman"/>
          <w:b/>
          <w:iCs w:val="0"/>
          <w:szCs w:val="22"/>
          <w:lang w:val="es-MX" w:eastAsia="en-US"/>
        </w:rPr>
      </w:pPr>
    </w:p>
    <w:p w14:paraId="5E620177" w14:textId="77777777" w:rsidR="007643EF" w:rsidRPr="007643EF" w:rsidRDefault="007643EF" w:rsidP="007643EF">
      <w:pPr>
        <w:numPr>
          <w:ilvl w:val="1"/>
          <w:numId w:val="0"/>
        </w:numPr>
        <w:jc w:val="both"/>
        <w:rPr>
          <w:rFonts w:cs="Times New Roman"/>
          <w:b/>
          <w:iCs w:val="0"/>
          <w:szCs w:val="22"/>
          <w:lang w:val="es-MX" w:eastAsia="en-US"/>
        </w:rPr>
      </w:pPr>
    </w:p>
    <w:p w14:paraId="70DF2C5C"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Calificaciones otorgadas</w:t>
      </w:r>
    </w:p>
    <w:p w14:paraId="3CB5C879" w14:textId="77777777" w:rsidR="007643EF" w:rsidRPr="007643EF" w:rsidRDefault="007643EF" w:rsidP="007643EF">
      <w:pPr>
        <w:numPr>
          <w:ilvl w:val="1"/>
          <w:numId w:val="0"/>
        </w:numPr>
        <w:jc w:val="both"/>
        <w:rPr>
          <w:rFonts w:cs="Times New Roman"/>
          <w:b/>
          <w:iCs w:val="0"/>
          <w:szCs w:val="22"/>
          <w:lang w:val="es-MX" w:eastAsia="en-US"/>
        </w:rPr>
      </w:pPr>
    </w:p>
    <w:p w14:paraId="24D897F6"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Fitch Ratings subió la calificación nacional de largo plazo del estado de Chiapas a ‘AA-(</w:t>
      </w:r>
      <w:proofErr w:type="spellStart"/>
      <w:r w:rsidRPr="007643EF">
        <w:rPr>
          <w:iCs w:val="0"/>
          <w:lang w:val="es-MX" w:eastAsia="es-MX"/>
        </w:rPr>
        <w:t>mex</w:t>
      </w:r>
      <w:proofErr w:type="spellEnd"/>
      <w:r w:rsidRPr="007643EF">
        <w:rPr>
          <w:iCs w:val="0"/>
          <w:lang w:val="es-MX" w:eastAsia="es-MX"/>
        </w:rPr>
        <w:t>)’ desde ‘A+(</w:t>
      </w:r>
      <w:proofErr w:type="spellStart"/>
      <w:r w:rsidRPr="007643EF">
        <w:rPr>
          <w:iCs w:val="0"/>
          <w:lang w:val="es-MX" w:eastAsia="es-MX"/>
        </w:rPr>
        <w:t>mex</w:t>
      </w:r>
      <w:proofErr w:type="spellEnd"/>
      <w:r w:rsidRPr="007643EF">
        <w:rPr>
          <w:iCs w:val="0"/>
          <w:lang w:val="es-MX" w:eastAsia="es-MX"/>
        </w:rPr>
        <w:t>)’. La Perspectiva es Estable.</w:t>
      </w:r>
    </w:p>
    <w:p w14:paraId="244A6F37" w14:textId="77777777" w:rsidR="007643EF" w:rsidRPr="007643EF" w:rsidRDefault="007643EF" w:rsidP="007643EF">
      <w:pPr>
        <w:autoSpaceDE w:val="0"/>
        <w:autoSpaceDN w:val="0"/>
        <w:adjustRightInd w:val="0"/>
        <w:ind w:left="357"/>
        <w:jc w:val="both"/>
        <w:rPr>
          <w:rFonts w:eastAsia="Calibri"/>
          <w:iCs w:val="0"/>
          <w:lang w:val="es-MX" w:eastAsia="en-US"/>
        </w:rPr>
      </w:pPr>
      <w:r w:rsidRPr="007643EF">
        <w:rPr>
          <w:rFonts w:eastAsia="Calibri"/>
          <w:iCs w:val="0"/>
          <w:lang w:val="es-MX" w:eastAsia="en-US"/>
        </w:rPr>
        <w:t>El alza en la calificación se fundamenta en una mejora de los resultados presupuestarios derivados de un incremento de las transferencias federales aunado a un control efectivo del gasto. Esto se refleja en un robustecimiento de la sostenibilidad de deuda de Chiapas, lo que genera una cobertura proyectada mayor.</w:t>
      </w:r>
    </w:p>
    <w:p w14:paraId="56996952" w14:textId="77777777" w:rsidR="007643EF" w:rsidRPr="007643EF" w:rsidRDefault="007643EF" w:rsidP="007643EF">
      <w:pPr>
        <w:autoSpaceDE w:val="0"/>
        <w:autoSpaceDN w:val="0"/>
        <w:adjustRightInd w:val="0"/>
        <w:jc w:val="both"/>
        <w:rPr>
          <w:rFonts w:eastAsia="Calibri"/>
          <w:iCs w:val="0"/>
          <w:lang w:val="es-MX" w:eastAsia="en-US"/>
        </w:rPr>
      </w:pPr>
    </w:p>
    <w:p w14:paraId="566A4E8C" w14:textId="77777777" w:rsidR="007643EF" w:rsidRPr="007643EF" w:rsidRDefault="007643EF" w:rsidP="007643EF">
      <w:pPr>
        <w:autoSpaceDE w:val="0"/>
        <w:autoSpaceDN w:val="0"/>
        <w:adjustRightInd w:val="0"/>
        <w:ind w:left="357"/>
        <w:jc w:val="both"/>
        <w:rPr>
          <w:rFonts w:eastAsia="Calibri"/>
          <w:iCs w:val="0"/>
          <w:lang w:val="es-MX" w:eastAsia="en-US"/>
        </w:rPr>
      </w:pPr>
      <w:r w:rsidRPr="007643EF">
        <w:rPr>
          <w:rFonts w:eastAsia="Calibri"/>
          <w:iCs w:val="0"/>
          <w:lang w:val="es-MX" w:eastAsia="en-US"/>
        </w:rPr>
        <w:t>Fitch mantiene la expectativa de que, en su escenario de calificación, Chiapas mantendrá una razón de repago por debajo de 5.0 veces (x) de forma sostenida en un horizonte de cinco años (2023-2027). Lo anterior combinado con una liquidez adecuada y una cobertura real de servicio de deuda (CRSD) mínima proyectada entre 1.0x y 1.2x, así como una evaluación del perfil de riesgo en ‘Rango Medio Bajo’.</w:t>
      </w:r>
    </w:p>
    <w:p w14:paraId="47542FF1" w14:textId="77777777" w:rsidR="007643EF" w:rsidRPr="007643EF" w:rsidRDefault="007643EF" w:rsidP="007643EF">
      <w:pPr>
        <w:numPr>
          <w:ilvl w:val="1"/>
          <w:numId w:val="0"/>
        </w:numPr>
        <w:jc w:val="both"/>
        <w:rPr>
          <w:rFonts w:cs="Times New Roman"/>
          <w:b/>
          <w:iCs w:val="0"/>
          <w:szCs w:val="22"/>
          <w:lang w:val="es-MX" w:eastAsia="en-US"/>
        </w:rPr>
      </w:pPr>
    </w:p>
    <w:p w14:paraId="03C01DA6"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 xml:space="preserve">HR Ratings revisó al alza la calificación de HR A+ a HR AA- al estado de Chiapas y mantuvo la Perspectiva Estable. </w:t>
      </w:r>
    </w:p>
    <w:p w14:paraId="7C3E2EC3" w14:textId="77777777" w:rsidR="007643EF" w:rsidRPr="007643EF" w:rsidRDefault="007643EF" w:rsidP="007643EF">
      <w:pPr>
        <w:autoSpaceDE w:val="0"/>
        <w:autoSpaceDN w:val="0"/>
        <w:adjustRightInd w:val="0"/>
        <w:ind w:left="357"/>
        <w:jc w:val="both"/>
        <w:rPr>
          <w:rFonts w:eastAsia="Calibri"/>
          <w:iCs w:val="0"/>
          <w:lang w:val="es-MX" w:eastAsia="en-US"/>
        </w:rPr>
      </w:pPr>
      <w:r w:rsidRPr="007643EF">
        <w:rPr>
          <w:rFonts w:eastAsia="Calibri"/>
          <w:iCs w:val="0"/>
          <w:lang w:val="es-MX" w:eastAsia="en-US"/>
        </w:rPr>
        <w:t>La revisión al alza de la calificación es resultado de la reducción observada en el nivel de endeudamiento relativo del Estado, sumado a la expectativa de que este se mantenga por debajo de lo estimado en la revisión anterior. Al cierre de 2022, derivado de un importante superávit en el Balance Primario generado por un aumento de 26.1 % en los Ingresos de Libre Disposición (ILD), se observó un incremento en la liquidez, por lo que la métrica de Deuda Neta Ajustada (DNA) a ILD disminuyó a 24.2 % (vs. 40.8 % estimado). Para los próximos años, se estima el ejercicio parcial de esta liquidez en Inversión Pública, sin embargo, el comportamiento al alza de la recaudación propia se traduciría en un superávit promedio de 1.2 %. Lo anterior le permitiría al Estado no requerir de financiamiento adicional, con lo que la DNA se mantendría en un nivel promedio de 21.6 %, por debajo del proyectado anteriormente de 34.7 %. Adicionalmente, se mantendría un bajo nivel de Pasivo Circulante, al ascender a una media de 5.4 % de los ILD entre 2023 y 2026.</w:t>
      </w:r>
    </w:p>
    <w:p w14:paraId="7894D749" w14:textId="77777777" w:rsidR="007643EF" w:rsidRPr="007643EF" w:rsidRDefault="007643EF" w:rsidP="007643EF">
      <w:pPr>
        <w:autoSpaceDE w:val="0"/>
        <w:autoSpaceDN w:val="0"/>
        <w:adjustRightInd w:val="0"/>
        <w:ind w:left="357"/>
        <w:jc w:val="both"/>
        <w:rPr>
          <w:rFonts w:eastAsia="Calibri"/>
          <w:iCs w:val="0"/>
          <w:lang w:val="es-MX" w:eastAsia="en-US"/>
        </w:rPr>
      </w:pPr>
    </w:p>
    <w:p w14:paraId="011413D1" w14:textId="77777777" w:rsidR="007643EF" w:rsidRPr="007643EF" w:rsidRDefault="007643EF" w:rsidP="007643EF">
      <w:pPr>
        <w:numPr>
          <w:ilvl w:val="0"/>
          <w:numId w:val="5"/>
        </w:numPr>
        <w:autoSpaceDE w:val="0"/>
        <w:autoSpaceDN w:val="0"/>
        <w:adjustRightInd w:val="0"/>
        <w:ind w:left="357" w:hanging="357"/>
        <w:jc w:val="both"/>
        <w:rPr>
          <w:iCs w:val="0"/>
          <w:lang w:val="es-MX" w:eastAsia="es-MX"/>
        </w:rPr>
      </w:pPr>
      <w:r w:rsidRPr="007643EF">
        <w:rPr>
          <w:iCs w:val="0"/>
          <w:lang w:val="es-MX" w:eastAsia="es-MX"/>
        </w:rPr>
        <w:t>De acuerdo a la calificadora Moody’s Local México, el perfil crediticio del estado de Chiapas (A.mx, estable) refleja una economía regional limitada con niveles de rezago en términos sociales y de infraestructura que generan presiones recurrentes en el gasto. Al mismo tiempo el estado se beneficia de una posición de liquidez sólida y una tendencia a la baja en el endeudamiento. Para 2023-24 proyectamos que el estado reportará déficits financieros en torno a 2 % de los ingresos totales derivados del plan de gasto en obras públicas, las cuales serán financiadas en gran medida con transferencias federales etiquetadas y recursos propios estatales, evitando la necesidad de contratar deuda. Aunque proyectamos que los déficits causarán una reducción en la liquidez, estimamos que el efectivo será equivalente a 2.6 veces (x) los pasivos circulantes al cierre del periodo, un nivel todavía fuerte.</w:t>
      </w:r>
    </w:p>
    <w:p w14:paraId="7A48FBFC" w14:textId="77777777" w:rsidR="007643EF" w:rsidRPr="007643EF" w:rsidRDefault="007643EF" w:rsidP="007643EF">
      <w:pPr>
        <w:autoSpaceDE w:val="0"/>
        <w:autoSpaceDN w:val="0"/>
        <w:adjustRightInd w:val="0"/>
        <w:ind w:left="357" w:hanging="357"/>
        <w:jc w:val="both"/>
        <w:rPr>
          <w:rFonts w:eastAsia="Calibri"/>
          <w:iCs w:val="0"/>
          <w:lang w:val="es-MX" w:eastAsia="en-US"/>
        </w:rPr>
      </w:pPr>
    </w:p>
    <w:p w14:paraId="5CF7E231" w14:textId="77777777" w:rsidR="007643EF" w:rsidRPr="007643EF" w:rsidRDefault="007643EF" w:rsidP="007643EF">
      <w:pPr>
        <w:numPr>
          <w:ilvl w:val="0"/>
          <w:numId w:val="5"/>
        </w:numPr>
        <w:autoSpaceDE w:val="0"/>
        <w:autoSpaceDN w:val="0"/>
        <w:adjustRightInd w:val="0"/>
        <w:ind w:left="357" w:hanging="357"/>
        <w:jc w:val="both"/>
        <w:rPr>
          <w:rFonts w:eastAsia="Calibri"/>
          <w:iCs w:val="0"/>
          <w:lang w:val="es-MX" w:eastAsia="es-MX"/>
        </w:rPr>
      </w:pPr>
      <w:r w:rsidRPr="007643EF">
        <w:rPr>
          <w:rFonts w:eastAsia="Calibri"/>
          <w:iCs w:val="0"/>
          <w:lang w:val="es-MX" w:eastAsia="es-MX"/>
        </w:rPr>
        <w:t>La calificadora S&amp;P Global Ratings subió su calificación crediticia de emisor de largo plazo en escala nacional del estado de Chiapas a '</w:t>
      </w:r>
      <w:proofErr w:type="spellStart"/>
      <w:r w:rsidRPr="007643EF">
        <w:rPr>
          <w:rFonts w:eastAsia="Calibri"/>
          <w:iCs w:val="0"/>
          <w:lang w:val="es-MX" w:eastAsia="es-MX"/>
        </w:rPr>
        <w:t>mxA</w:t>
      </w:r>
      <w:proofErr w:type="spellEnd"/>
      <w:r w:rsidRPr="007643EF">
        <w:rPr>
          <w:rFonts w:eastAsia="Calibri"/>
          <w:iCs w:val="0"/>
          <w:lang w:val="es-MX" w:eastAsia="es-MX"/>
        </w:rPr>
        <w:t>+’ de ‘</w:t>
      </w:r>
      <w:proofErr w:type="spellStart"/>
      <w:r w:rsidRPr="007643EF">
        <w:rPr>
          <w:rFonts w:eastAsia="Calibri"/>
          <w:iCs w:val="0"/>
          <w:lang w:val="es-MX" w:eastAsia="es-MX"/>
        </w:rPr>
        <w:t>mxA</w:t>
      </w:r>
      <w:proofErr w:type="spellEnd"/>
      <w:r w:rsidRPr="007643EF">
        <w:rPr>
          <w:rFonts w:eastAsia="Calibri"/>
          <w:iCs w:val="0"/>
          <w:lang w:val="es-MX" w:eastAsia="es-MX"/>
        </w:rPr>
        <w:t>’, con perspectiva estable.</w:t>
      </w:r>
    </w:p>
    <w:p w14:paraId="2CAD498B" w14:textId="77777777" w:rsidR="007643EF" w:rsidRPr="007643EF" w:rsidRDefault="007643EF" w:rsidP="007643EF">
      <w:pPr>
        <w:autoSpaceDE w:val="0"/>
        <w:autoSpaceDN w:val="0"/>
        <w:adjustRightInd w:val="0"/>
        <w:jc w:val="both"/>
        <w:rPr>
          <w:iCs w:val="0"/>
          <w:lang w:val="es-MX" w:eastAsia="es-MX"/>
        </w:rPr>
      </w:pPr>
    </w:p>
    <w:p w14:paraId="0EEB27E0" w14:textId="77777777" w:rsidR="007643EF" w:rsidRPr="007643EF" w:rsidRDefault="007643EF" w:rsidP="007643EF">
      <w:pPr>
        <w:autoSpaceDE w:val="0"/>
        <w:autoSpaceDN w:val="0"/>
        <w:adjustRightInd w:val="0"/>
        <w:ind w:left="357"/>
        <w:jc w:val="both"/>
        <w:rPr>
          <w:rFonts w:eastAsia="Calibri"/>
          <w:iCs w:val="0"/>
          <w:lang w:val="es-MX" w:eastAsia="en-US"/>
        </w:rPr>
      </w:pPr>
      <w:r w:rsidRPr="007643EF">
        <w:rPr>
          <w:rFonts w:eastAsia="Calibri"/>
          <w:iCs w:val="0"/>
          <w:lang w:val="es-MX" w:eastAsia="en-US"/>
        </w:rPr>
        <w:t xml:space="preserve">La perspectiva estable refleja nuestra expectativa que la administración financiera de Chiapas mantenga su compromiso con políticas fiscales prudentes que deriven en resultados fiscales balanceados, a pesar de las altas necesidades de infraestructura y la transición política en 2024. Bajo este escenario, la posición de liquidez se mantendrá adecuada y sus necesidades de financiamiento bajas. </w:t>
      </w:r>
    </w:p>
    <w:p w14:paraId="6E656FB3" w14:textId="77777777" w:rsidR="007643EF" w:rsidRPr="007643EF" w:rsidRDefault="007643EF" w:rsidP="007643EF">
      <w:pPr>
        <w:autoSpaceDE w:val="0"/>
        <w:autoSpaceDN w:val="0"/>
        <w:adjustRightInd w:val="0"/>
        <w:jc w:val="both"/>
        <w:rPr>
          <w:rFonts w:eastAsia="Calibri"/>
          <w:iCs w:val="0"/>
          <w:lang w:val="es-MX" w:eastAsia="en-US"/>
        </w:rPr>
      </w:pPr>
    </w:p>
    <w:p w14:paraId="447B1020" w14:textId="77777777" w:rsidR="007643EF" w:rsidRPr="007643EF" w:rsidRDefault="007643EF" w:rsidP="007643EF">
      <w:pPr>
        <w:autoSpaceDE w:val="0"/>
        <w:autoSpaceDN w:val="0"/>
        <w:adjustRightInd w:val="0"/>
        <w:ind w:left="357"/>
        <w:jc w:val="both"/>
        <w:rPr>
          <w:rFonts w:eastAsia="Calibri"/>
          <w:iCs w:val="0"/>
          <w:lang w:val="es-MX" w:eastAsia="en-US"/>
        </w:rPr>
      </w:pPr>
      <w:r w:rsidRPr="007643EF">
        <w:rPr>
          <w:iCs w:val="0"/>
          <w:lang w:val="es-MX" w:eastAsia="es-MX"/>
        </w:rPr>
        <w:t>El estado de Chiapas ha logrado fortalecer su desempeño fiscal y posición de liquidez a través de una efectiva contención del gasto y el favorable desempeño de sus ingresos.</w:t>
      </w:r>
    </w:p>
    <w:p w14:paraId="40267D42" w14:textId="77777777" w:rsidR="007643EF" w:rsidRPr="007643EF" w:rsidRDefault="007643EF" w:rsidP="007643EF">
      <w:pPr>
        <w:numPr>
          <w:ilvl w:val="1"/>
          <w:numId w:val="0"/>
        </w:numPr>
        <w:jc w:val="both"/>
        <w:rPr>
          <w:iCs w:val="0"/>
          <w:lang w:val="es-MX" w:eastAsia="es-MX"/>
        </w:rPr>
      </w:pPr>
    </w:p>
    <w:p w14:paraId="5C23A6EF"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Proceso de mejora</w:t>
      </w:r>
    </w:p>
    <w:p w14:paraId="5EC81403" w14:textId="77777777" w:rsidR="007643EF" w:rsidRPr="007643EF" w:rsidRDefault="007643EF" w:rsidP="007643EF">
      <w:pPr>
        <w:autoSpaceDE w:val="0"/>
        <w:autoSpaceDN w:val="0"/>
        <w:adjustRightInd w:val="0"/>
        <w:jc w:val="both"/>
        <w:rPr>
          <w:rFonts w:eastAsia="Calibri"/>
          <w:iCs w:val="0"/>
          <w:lang w:val="es-MX" w:eastAsia="en-US"/>
        </w:rPr>
      </w:pPr>
    </w:p>
    <w:p w14:paraId="3CB4943A"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76A74670" w14:textId="77777777" w:rsidR="007643EF" w:rsidRPr="007643EF" w:rsidRDefault="007643EF" w:rsidP="007643EF">
      <w:pPr>
        <w:autoSpaceDE w:val="0"/>
        <w:autoSpaceDN w:val="0"/>
        <w:adjustRightInd w:val="0"/>
        <w:jc w:val="both"/>
        <w:rPr>
          <w:rFonts w:eastAsia="Calibri"/>
          <w:iCs w:val="0"/>
          <w:lang w:val="es-MX" w:eastAsia="en-US"/>
        </w:rPr>
      </w:pPr>
    </w:p>
    <w:p w14:paraId="4435C93F"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Principales políticas de control interno</w:t>
      </w:r>
    </w:p>
    <w:p w14:paraId="5E76471C" w14:textId="77777777" w:rsidR="007643EF" w:rsidRPr="007643EF" w:rsidRDefault="007643EF" w:rsidP="007643EF">
      <w:pPr>
        <w:autoSpaceDE w:val="0"/>
        <w:autoSpaceDN w:val="0"/>
        <w:adjustRightInd w:val="0"/>
        <w:jc w:val="both"/>
        <w:rPr>
          <w:rFonts w:eastAsia="Calibri"/>
          <w:iCs w:val="0"/>
          <w:lang w:val="es-MX" w:eastAsia="en-US"/>
        </w:rPr>
      </w:pPr>
    </w:p>
    <w:p w14:paraId="7A92D31D"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Manual de procedimientos: indica los procedimientos a seguir de forma ordenada en el desarrollo de las actividades; evitando duplicidad de esfuerzos.</w:t>
      </w:r>
    </w:p>
    <w:p w14:paraId="6DB9E67C"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Ley General de Contabilidad Gubernamental (LGCG): Establece los criterios generales que rigen la contabilidad gubernamental y la emisión de información financiera, incluyendo la presupuestaria y programática en forma razonable y transparente.</w:t>
      </w:r>
    </w:p>
    <w:p w14:paraId="0FCC1311"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Normatividad contable: Tiene por objeto regular el registro contable de los recursos públicos y la preparación de informes financieros de forma armonizada, que dan transparencia para la interpretación, evaluación, fiscalización y entrega de informes; regulando las operaciones contables.</w:t>
      </w:r>
    </w:p>
    <w:p w14:paraId="23043BEF" w14:textId="77777777" w:rsidR="007643EF" w:rsidRPr="007643EF" w:rsidRDefault="007643EF" w:rsidP="007643EF">
      <w:pPr>
        <w:numPr>
          <w:ilvl w:val="0"/>
          <w:numId w:val="5"/>
        </w:numPr>
        <w:autoSpaceDE w:val="0"/>
        <w:autoSpaceDN w:val="0"/>
        <w:adjustRightInd w:val="0"/>
        <w:spacing w:after="120"/>
        <w:ind w:left="357" w:hanging="357"/>
        <w:jc w:val="both"/>
        <w:rPr>
          <w:iCs w:val="0"/>
          <w:lang w:val="es-MX" w:eastAsia="es-MX"/>
        </w:rPr>
      </w:pPr>
      <w:r w:rsidRPr="007643EF">
        <w:rPr>
          <w:iCs w:val="0"/>
          <w:lang w:val="es-MX" w:eastAsia="es-MX"/>
        </w:rPr>
        <w:t>Normas presupuestarias: Indican la forma y términos en que se ejecuta el gasto público, administrándolo con eficiencia, eficacia, economía, transparencia y honradez, para rendir cuentas de los recursos públicos, asimismo, contribuye a fortalecer la armonización presupuestaria y contable.</w:t>
      </w:r>
    </w:p>
    <w:p w14:paraId="747C019C" w14:textId="77777777" w:rsidR="007643EF" w:rsidRPr="007643EF" w:rsidRDefault="007643EF" w:rsidP="007643EF">
      <w:pPr>
        <w:jc w:val="both"/>
        <w:rPr>
          <w:rFonts w:eastAsia="Calibri"/>
          <w:iCs w:val="0"/>
          <w:lang w:val="es-MX" w:eastAsia="en-US"/>
        </w:rPr>
      </w:pPr>
    </w:p>
    <w:p w14:paraId="5456A9F1"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Medidas de desempeño financiero, metas y alcance</w:t>
      </w:r>
    </w:p>
    <w:p w14:paraId="1BC26E86" w14:textId="77777777" w:rsidR="007643EF" w:rsidRPr="007643EF" w:rsidRDefault="007643EF" w:rsidP="007643EF">
      <w:pPr>
        <w:autoSpaceDE w:val="0"/>
        <w:autoSpaceDN w:val="0"/>
        <w:adjustRightInd w:val="0"/>
        <w:jc w:val="both"/>
        <w:rPr>
          <w:rFonts w:eastAsia="Calibri"/>
          <w:iCs w:val="0"/>
          <w:lang w:val="es-MX" w:eastAsia="en-US"/>
        </w:rPr>
      </w:pPr>
    </w:p>
    <w:p w14:paraId="0D16DAB5"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40D104EE" w14:textId="77777777" w:rsidR="007643EF" w:rsidRPr="007643EF" w:rsidRDefault="007643EF" w:rsidP="007643EF">
      <w:pPr>
        <w:numPr>
          <w:ilvl w:val="1"/>
          <w:numId w:val="0"/>
        </w:numPr>
        <w:jc w:val="both"/>
        <w:rPr>
          <w:rFonts w:cs="Times New Roman"/>
          <w:b/>
          <w:iCs w:val="0"/>
          <w:szCs w:val="22"/>
          <w:lang w:val="es-MX" w:eastAsia="en-US"/>
        </w:rPr>
      </w:pPr>
    </w:p>
    <w:p w14:paraId="2DB6FAA0"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Información por segmentos</w:t>
      </w:r>
    </w:p>
    <w:p w14:paraId="5FB98FA2" w14:textId="77777777" w:rsidR="007643EF" w:rsidRPr="007643EF" w:rsidRDefault="007643EF" w:rsidP="007643EF">
      <w:pPr>
        <w:autoSpaceDE w:val="0"/>
        <w:autoSpaceDN w:val="0"/>
        <w:adjustRightInd w:val="0"/>
        <w:jc w:val="both"/>
        <w:rPr>
          <w:rFonts w:eastAsia="Calibri"/>
          <w:iCs w:val="0"/>
          <w:lang w:val="es-MX" w:eastAsia="en-US"/>
        </w:rPr>
      </w:pPr>
    </w:p>
    <w:p w14:paraId="6CC82CF0"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El Gobierno del estado de Chiapas, informa que, al 31 de diciembre de 2023, no presenta información financiera de manera segmentada.</w:t>
      </w:r>
    </w:p>
    <w:p w14:paraId="5670F364" w14:textId="77777777" w:rsidR="007643EF" w:rsidRPr="007643EF" w:rsidRDefault="007643EF" w:rsidP="007643EF">
      <w:pPr>
        <w:tabs>
          <w:tab w:val="left" w:pos="5280"/>
        </w:tabs>
        <w:jc w:val="both"/>
        <w:rPr>
          <w:rFonts w:eastAsia="Calibri"/>
          <w:iCs w:val="0"/>
          <w:lang w:val="es-MX" w:eastAsia="en-US"/>
        </w:rPr>
      </w:pPr>
    </w:p>
    <w:p w14:paraId="46361513" w14:textId="77777777" w:rsidR="007643EF" w:rsidRPr="007643EF" w:rsidRDefault="007643EF" w:rsidP="007643EF">
      <w:pPr>
        <w:tabs>
          <w:tab w:val="left" w:pos="5280"/>
        </w:tabs>
        <w:jc w:val="both"/>
        <w:rPr>
          <w:rFonts w:eastAsia="Calibri"/>
          <w:iCs w:val="0"/>
          <w:lang w:val="es-MX" w:eastAsia="en-US"/>
        </w:rPr>
      </w:pPr>
    </w:p>
    <w:p w14:paraId="23D35A43"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Eventos posteriores al cierre</w:t>
      </w:r>
    </w:p>
    <w:p w14:paraId="7E3A8671" w14:textId="77777777" w:rsidR="007643EF" w:rsidRPr="007643EF" w:rsidRDefault="007643EF" w:rsidP="007643EF">
      <w:pPr>
        <w:autoSpaceDE w:val="0"/>
        <w:autoSpaceDN w:val="0"/>
        <w:adjustRightInd w:val="0"/>
        <w:jc w:val="both"/>
        <w:rPr>
          <w:rFonts w:eastAsia="Calibri"/>
          <w:iCs w:val="0"/>
          <w:lang w:val="es-MX" w:eastAsia="en-US"/>
        </w:rPr>
      </w:pPr>
    </w:p>
    <w:p w14:paraId="26448F8B"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El Gobierno del estado de Chiapas, informa que no existen eventos ocurridos en el periodo posterior al 31 de diciembre de 2023, que pudieran afectar económicamente e impactar en los estados financieros presentados.</w:t>
      </w:r>
    </w:p>
    <w:p w14:paraId="2F438FF4" w14:textId="77777777" w:rsidR="007643EF" w:rsidRPr="007643EF" w:rsidRDefault="007643EF" w:rsidP="007643EF">
      <w:pPr>
        <w:tabs>
          <w:tab w:val="left" w:pos="5280"/>
        </w:tabs>
        <w:jc w:val="both"/>
        <w:rPr>
          <w:rFonts w:eastAsia="Calibri"/>
          <w:iCs w:val="0"/>
          <w:lang w:val="es-MX" w:eastAsia="en-US"/>
        </w:rPr>
      </w:pPr>
    </w:p>
    <w:p w14:paraId="4DF64FEB"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Partes relacionadas</w:t>
      </w:r>
    </w:p>
    <w:p w14:paraId="7D64C0C3" w14:textId="77777777" w:rsidR="007643EF" w:rsidRPr="007643EF" w:rsidRDefault="007643EF" w:rsidP="007643EF">
      <w:pPr>
        <w:autoSpaceDE w:val="0"/>
        <w:autoSpaceDN w:val="0"/>
        <w:adjustRightInd w:val="0"/>
        <w:jc w:val="both"/>
        <w:rPr>
          <w:rFonts w:eastAsia="Calibri"/>
          <w:iCs w:val="0"/>
          <w:lang w:val="es-MX" w:eastAsia="en-US"/>
        </w:rPr>
      </w:pPr>
    </w:p>
    <w:p w14:paraId="1D43E33E"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El Gobierno del estado de Chiapas, informa que, al 31 de diciembre de 2023, no existen partes relacionadas que pudieran ejercer influencia significativa sobre la toma de decisiones financieras y operativas.</w:t>
      </w:r>
    </w:p>
    <w:p w14:paraId="5071724D" w14:textId="77777777" w:rsidR="007643EF" w:rsidRPr="007643EF" w:rsidRDefault="007643EF" w:rsidP="007643EF">
      <w:pPr>
        <w:tabs>
          <w:tab w:val="left" w:pos="5280"/>
        </w:tabs>
        <w:jc w:val="both"/>
        <w:rPr>
          <w:rFonts w:eastAsia="Calibri"/>
          <w:iCs w:val="0"/>
          <w:lang w:val="es-MX" w:eastAsia="en-US"/>
        </w:rPr>
      </w:pPr>
    </w:p>
    <w:p w14:paraId="2B3AD754"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Responsabilidad sobre la presentación razonable de la información contable</w:t>
      </w:r>
    </w:p>
    <w:p w14:paraId="0B6385D0" w14:textId="77777777" w:rsidR="007643EF" w:rsidRPr="007643EF" w:rsidRDefault="007643EF" w:rsidP="007643EF">
      <w:pPr>
        <w:tabs>
          <w:tab w:val="left" w:pos="5280"/>
        </w:tabs>
        <w:jc w:val="both"/>
        <w:rPr>
          <w:rFonts w:eastAsia="Calibri"/>
          <w:iCs w:val="0"/>
          <w:lang w:val="es-MX" w:eastAsia="en-US"/>
        </w:rPr>
      </w:pPr>
    </w:p>
    <w:p w14:paraId="04113D4E"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“Bajo protesta de decir verdad declaramos que los estados financieros del Gobierno Estatal y sus notas, son razonablemente correctos y son responsabilidad del emisor”.</w:t>
      </w:r>
    </w:p>
    <w:p w14:paraId="24698A6A" w14:textId="77777777" w:rsidR="007643EF" w:rsidRPr="007643EF" w:rsidRDefault="007643EF" w:rsidP="007643EF">
      <w:pPr>
        <w:jc w:val="both"/>
        <w:rPr>
          <w:rFonts w:eastAsia="Calibri"/>
          <w:iCs w:val="0"/>
        </w:rPr>
      </w:pPr>
    </w:p>
    <w:p w14:paraId="7FEFDD5F" w14:textId="77777777" w:rsidR="007643EF" w:rsidRPr="007643EF" w:rsidRDefault="007643EF" w:rsidP="007643EF">
      <w:pPr>
        <w:jc w:val="both"/>
        <w:rPr>
          <w:rFonts w:eastAsia="Calibri"/>
          <w:iCs w:val="0"/>
        </w:rPr>
      </w:pPr>
    </w:p>
    <w:p w14:paraId="569027D2" w14:textId="77777777" w:rsidR="007643EF" w:rsidRDefault="007643EF">
      <w:pPr>
        <w:rPr>
          <w:b/>
          <w:bCs/>
          <w:iCs w:val="0"/>
          <w:sz w:val="24"/>
          <w:szCs w:val="24"/>
        </w:rPr>
      </w:pPr>
      <w:r>
        <w:rPr>
          <w:b/>
          <w:bCs/>
          <w:iCs w:val="0"/>
          <w:sz w:val="24"/>
          <w:szCs w:val="24"/>
        </w:rPr>
        <w:br w:type="page"/>
      </w:r>
    </w:p>
    <w:p w14:paraId="300C6FB0" w14:textId="0DBE3F54" w:rsidR="007643EF" w:rsidRPr="007643EF" w:rsidRDefault="007643EF" w:rsidP="007643EF">
      <w:pPr>
        <w:jc w:val="both"/>
        <w:rPr>
          <w:b/>
          <w:bCs/>
          <w:iCs w:val="0"/>
          <w:sz w:val="24"/>
          <w:szCs w:val="24"/>
        </w:rPr>
      </w:pPr>
      <w:r w:rsidRPr="007643EF">
        <w:rPr>
          <w:b/>
          <w:bCs/>
          <w:iCs w:val="0"/>
          <w:sz w:val="24"/>
          <w:szCs w:val="24"/>
        </w:rPr>
        <w:lastRenderedPageBreak/>
        <w:t>Notas de desglose</w:t>
      </w:r>
    </w:p>
    <w:p w14:paraId="6825753F" w14:textId="77777777" w:rsidR="007643EF" w:rsidRPr="007643EF" w:rsidRDefault="007643EF" w:rsidP="007643EF">
      <w:pPr>
        <w:jc w:val="both"/>
        <w:outlineLvl w:val="0"/>
        <w:rPr>
          <w:rFonts w:eastAsia="Calibri"/>
          <w:b/>
          <w:bCs/>
          <w:iCs w:val="0"/>
          <w:szCs w:val="22"/>
          <w:lang w:val="es-MX" w:eastAsia="en-US"/>
        </w:rPr>
      </w:pPr>
    </w:p>
    <w:p w14:paraId="000FE894"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Notas al estado de actividades</w:t>
      </w:r>
    </w:p>
    <w:p w14:paraId="7D5A1E73" w14:textId="77777777" w:rsidR="007643EF" w:rsidRPr="007643EF" w:rsidRDefault="007643EF" w:rsidP="007643EF">
      <w:pPr>
        <w:jc w:val="both"/>
        <w:rPr>
          <w:b/>
          <w:bCs/>
          <w:iCs w:val="0"/>
          <w:caps/>
          <w:lang w:val="es-MX" w:eastAsia="en-US"/>
        </w:rPr>
      </w:pPr>
    </w:p>
    <w:p w14:paraId="054F13D3" w14:textId="77777777" w:rsidR="007643EF" w:rsidRPr="007643EF" w:rsidRDefault="007643EF" w:rsidP="007643EF">
      <w:pPr>
        <w:jc w:val="both"/>
        <w:outlineLvl w:val="0"/>
        <w:rPr>
          <w:iCs w:val="0"/>
          <w:lang w:val="es-MX" w:eastAsia="en-US"/>
        </w:rPr>
      </w:pPr>
      <w:r w:rsidRPr="007643EF">
        <w:rPr>
          <w:iCs w:val="0"/>
          <w:lang w:val="es-MX" w:eastAsia="en-US"/>
        </w:rPr>
        <w:t>El resultado obtenido del 1 de enero al 31 de diciembre de 2023, presenta un ahorro por 48 mil 626.1 millones de pesos y se obtiene de restar del total de ingresos percibidos los gastos y otras pérdidas, sin considerar los recursos destinados en la adquisición de bienes muebles e inmuebles consideradas como inversión, así como, recursos comprometidos de gasto de inversión para la continuidad de obras en proceso.</w:t>
      </w:r>
    </w:p>
    <w:p w14:paraId="45B83216" w14:textId="77777777" w:rsidR="007643EF" w:rsidRPr="007643EF" w:rsidRDefault="007643EF" w:rsidP="007643EF">
      <w:pPr>
        <w:jc w:val="both"/>
        <w:outlineLvl w:val="0"/>
        <w:rPr>
          <w:iCs w:val="0"/>
          <w:lang w:val="es-MX" w:eastAsia="en-US"/>
        </w:rPr>
      </w:pPr>
    </w:p>
    <w:p w14:paraId="466644D1"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Ingresos y otros beneficios</w:t>
      </w:r>
    </w:p>
    <w:p w14:paraId="5C6AE30F" w14:textId="77777777" w:rsidR="007643EF" w:rsidRPr="007643EF" w:rsidRDefault="007643EF" w:rsidP="007643EF">
      <w:pPr>
        <w:jc w:val="both"/>
        <w:outlineLvl w:val="0"/>
        <w:rPr>
          <w:iCs w:val="0"/>
          <w:lang w:val="es-MX" w:eastAsia="en-US"/>
        </w:rPr>
      </w:pPr>
    </w:p>
    <w:p w14:paraId="0B95AE30" w14:textId="77777777" w:rsidR="007643EF" w:rsidRPr="007643EF" w:rsidRDefault="007643EF" w:rsidP="007643EF">
      <w:pPr>
        <w:jc w:val="both"/>
        <w:rPr>
          <w:iCs w:val="0"/>
          <w:lang w:val="es-MX" w:eastAsia="en-US"/>
        </w:rPr>
      </w:pPr>
      <w:r w:rsidRPr="007643EF">
        <w:rPr>
          <w:iCs w:val="0"/>
          <w:lang w:val="es-MX" w:eastAsia="en-US"/>
        </w:rPr>
        <w:t>Los ingresos ascienden a 136 mil 885.2 millones de pesos y se integran principalmente por los Ingresos de Ley, estos son originados por los impuestos, por las cuotas y aportaciones de seguridad social, por la enajenación de bienes y los servicios prestados por los entes públicos que conforman el Gobierno Estatal,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w:t>
      </w:r>
    </w:p>
    <w:p w14:paraId="084824F5" w14:textId="77777777" w:rsidR="007643EF" w:rsidRPr="007643EF" w:rsidRDefault="007643EF" w:rsidP="007643EF">
      <w:pPr>
        <w:jc w:val="both"/>
        <w:rPr>
          <w:iCs w:val="0"/>
          <w:lang w:val="es-MX" w:eastAsia="en-US"/>
        </w:rPr>
      </w:pPr>
    </w:p>
    <w:p w14:paraId="52BE8359" w14:textId="77777777" w:rsidR="007643EF" w:rsidRPr="007643EF" w:rsidRDefault="007643EF" w:rsidP="007643EF">
      <w:pPr>
        <w:jc w:val="both"/>
        <w:rPr>
          <w:iCs w:val="0"/>
          <w:lang w:val="es-MX" w:eastAsia="en-US"/>
        </w:rPr>
      </w:pPr>
      <w:r w:rsidRPr="007643EF">
        <w:rPr>
          <w:iCs w:val="0"/>
          <w:lang w:val="es-MX" w:eastAsia="en-US"/>
        </w:rPr>
        <w:t xml:space="preserve">Se registran también dentro de este rubro, los ingresos obtenidos por concepto de rendimientos bancarios, así como, </w:t>
      </w:r>
      <w:r w:rsidRPr="007643EF">
        <w:rPr>
          <w:rFonts w:eastAsia="Arial"/>
          <w:iCs w:val="0"/>
          <w:lang w:val="es-MX" w:eastAsia="en-US"/>
        </w:rPr>
        <w:t xml:space="preserve">por </w:t>
      </w:r>
      <w:r w:rsidRPr="007643EF">
        <w:rPr>
          <w:rFonts w:eastAsia="Calibri"/>
          <w:iCs w:val="0"/>
          <w:lang w:val="es-MX" w:eastAsia="en-US"/>
        </w:rPr>
        <w:t>las diferencias a favor de operaciones en moneda extranjera, por la recuperación de activo derivado de siniestro,</w:t>
      </w:r>
      <w:r w:rsidRPr="007643EF">
        <w:rPr>
          <w:iCs w:val="0"/>
          <w:lang w:val="es-MX" w:eastAsia="en-US"/>
        </w:rPr>
        <w:t xml:space="preserve"> por los redondeos y diferencias a favor por concepto de pagos de facturas e impuestos, por apertura de cuentas bancarias, por reintegros y por bonificaciones.</w:t>
      </w:r>
    </w:p>
    <w:p w14:paraId="71C1DDF2" w14:textId="77777777" w:rsidR="007643EF" w:rsidRPr="007643EF" w:rsidRDefault="007643EF" w:rsidP="007643EF">
      <w:pPr>
        <w:jc w:val="both"/>
        <w:rPr>
          <w:b/>
          <w:i/>
          <w:iCs w:val="0"/>
          <w:lang w:val="es-MX" w:eastAsia="en-US"/>
        </w:rPr>
      </w:pPr>
    </w:p>
    <w:p w14:paraId="356C8D58"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Gastos y otras pérdidas</w:t>
      </w:r>
    </w:p>
    <w:p w14:paraId="20772956" w14:textId="77777777" w:rsidR="007643EF" w:rsidRPr="007643EF" w:rsidRDefault="007643EF" w:rsidP="007643EF">
      <w:pPr>
        <w:jc w:val="both"/>
        <w:outlineLvl w:val="0"/>
        <w:rPr>
          <w:b/>
          <w:bCs/>
          <w:i/>
          <w:lang w:val="es-MX" w:eastAsia="en-US"/>
        </w:rPr>
      </w:pPr>
    </w:p>
    <w:p w14:paraId="16797CD8" w14:textId="77777777" w:rsidR="007643EF" w:rsidRPr="007643EF" w:rsidRDefault="007643EF" w:rsidP="007643EF">
      <w:pPr>
        <w:jc w:val="both"/>
        <w:outlineLvl w:val="0"/>
        <w:rPr>
          <w:iCs w:val="0"/>
          <w:lang w:val="es-MX" w:eastAsia="en-US"/>
        </w:rPr>
      </w:pPr>
      <w:r w:rsidRPr="007643EF">
        <w:rPr>
          <w:iCs w:val="0"/>
          <w:lang w:val="es-MX" w:eastAsia="en-US"/>
        </w:rPr>
        <w:t>Son aquellas cuentas que registran los gastos de funcionamiento de la administración pública, transferencias, asignaciones, subsidios y otras ayudas, aplicados en proyectos a favor de la ciudadanía.</w:t>
      </w:r>
    </w:p>
    <w:p w14:paraId="4DB73193" w14:textId="77777777" w:rsidR="007643EF" w:rsidRPr="007643EF" w:rsidRDefault="007643EF" w:rsidP="007643EF">
      <w:pPr>
        <w:jc w:val="both"/>
        <w:outlineLvl w:val="0"/>
        <w:rPr>
          <w:iCs w:val="0"/>
          <w:lang w:val="es-MX" w:eastAsia="en-US"/>
        </w:rPr>
      </w:pPr>
    </w:p>
    <w:p w14:paraId="07F5BCB5" w14:textId="77777777" w:rsidR="007643EF" w:rsidRPr="007643EF" w:rsidRDefault="007643EF" w:rsidP="007643EF">
      <w:pPr>
        <w:jc w:val="both"/>
        <w:outlineLvl w:val="0"/>
        <w:rPr>
          <w:iCs w:val="0"/>
          <w:lang w:val="es-MX" w:eastAsia="en-US"/>
        </w:rPr>
      </w:pPr>
      <w:r w:rsidRPr="007643EF">
        <w:rPr>
          <w:iCs w:val="0"/>
          <w:lang w:val="es-MX" w:eastAsia="en-US"/>
        </w:rPr>
        <w:t xml:space="preserve">Se incluye dentro de este rubro los ADEFAS, </w:t>
      </w:r>
      <w:r w:rsidRPr="007643EF">
        <w:rPr>
          <w:rFonts w:eastAsia="Calibri"/>
          <w:iCs w:val="0"/>
          <w:lang w:val="es-MX" w:eastAsia="en-US"/>
        </w:rPr>
        <w:t>la depreciación de bienes muebles, la amortización de activos intangibles, el deterioro de activos biológicos, así como,</w:t>
      </w:r>
      <w:r w:rsidRPr="007643EF">
        <w:rPr>
          <w:iCs w:val="0"/>
          <w:lang w:val="es-MX" w:eastAsia="en-US"/>
        </w:rPr>
        <w:t xml:space="preserve"> el registro de bajas de bienes por pérdida, obsolescencia y deterioro.</w:t>
      </w:r>
    </w:p>
    <w:p w14:paraId="7955193B" w14:textId="77777777" w:rsidR="007643EF" w:rsidRPr="007643EF" w:rsidRDefault="007643EF" w:rsidP="007643EF">
      <w:pPr>
        <w:jc w:val="both"/>
        <w:outlineLvl w:val="0"/>
        <w:rPr>
          <w:iCs w:val="0"/>
          <w:lang w:val="es-MX" w:eastAsia="en-US"/>
        </w:rPr>
      </w:pPr>
    </w:p>
    <w:p w14:paraId="50B5F673" w14:textId="77777777" w:rsidR="007643EF" w:rsidRPr="007643EF" w:rsidRDefault="007643EF" w:rsidP="007643EF">
      <w:pPr>
        <w:jc w:val="both"/>
        <w:outlineLvl w:val="0"/>
        <w:rPr>
          <w:iCs w:val="0"/>
          <w:lang w:val="es-MX" w:eastAsia="en-US"/>
        </w:rPr>
      </w:pPr>
      <w:r w:rsidRPr="007643EF">
        <w:rPr>
          <w:iCs w:val="0"/>
          <w:lang w:val="es-MX" w:eastAsia="en-US"/>
        </w:rPr>
        <w:t>También, se encuentran las diferencias a cargo por las operaciones en moneda extranjera, los gastos de fideicomisos no recuperables, la indemnización derivado de siniestro, el registro de aquellos bienes enajenables e inventariables, cuyo costo unitario de adquisición no sobrepasa 70 veces el valor diario de la Unidad de Medida y Actualización (UMA), y por los redondeos a cargo por concepto de pagos de facturas e impuestos, al 31 de diciembre de 2023.</w:t>
      </w:r>
    </w:p>
    <w:p w14:paraId="6FBC8A18" w14:textId="77777777" w:rsidR="007643EF" w:rsidRPr="007643EF" w:rsidRDefault="007643EF" w:rsidP="007643EF">
      <w:pPr>
        <w:jc w:val="both"/>
        <w:outlineLvl w:val="0"/>
        <w:rPr>
          <w:iCs w:val="0"/>
          <w:lang w:val="es-MX" w:eastAsia="en-US"/>
        </w:rPr>
      </w:pPr>
    </w:p>
    <w:p w14:paraId="2F0A9F46" w14:textId="77777777" w:rsidR="007643EF" w:rsidRPr="007643EF" w:rsidRDefault="007643EF" w:rsidP="007643EF">
      <w:pPr>
        <w:jc w:val="both"/>
        <w:outlineLvl w:val="0"/>
        <w:rPr>
          <w:iCs w:val="0"/>
          <w:lang w:val="es-MX" w:eastAsia="en-US"/>
        </w:rPr>
      </w:pPr>
      <w:r w:rsidRPr="007643EF">
        <w:rPr>
          <w:iCs w:val="0"/>
          <w:lang w:val="es-MX" w:eastAsia="en-US"/>
        </w:rPr>
        <w:t>Este rubro asciende a un importe de 88 mil 259.1 millones de pesos.</w:t>
      </w:r>
    </w:p>
    <w:p w14:paraId="458D1147" w14:textId="77777777" w:rsidR="007643EF" w:rsidRPr="007643EF" w:rsidRDefault="007643EF" w:rsidP="007643EF">
      <w:pPr>
        <w:jc w:val="both"/>
        <w:outlineLvl w:val="0"/>
        <w:rPr>
          <w:iCs w:val="0"/>
          <w:lang w:val="es-MX" w:eastAsia="en-US"/>
        </w:rPr>
      </w:pPr>
    </w:p>
    <w:p w14:paraId="4FDCAA42"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Notas al estado de situación financiera</w:t>
      </w:r>
    </w:p>
    <w:p w14:paraId="5F7C7B2B" w14:textId="77777777" w:rsidR="007643EF" w:rsidRPr="007643EF" w:rsidRDefault="007643EF" w:rsidP="007643EF">
      <w:pPr>
        <w:jc w:val="both"/>
        <w:outlineLvl w:val="0"/>
        <w:rPr>
          <w:rFonts w:eastAsia="Calibri"/>
          <w:b/>
          <w:bCs/>
          <w:iCs w:val="0"/>
          <w:szCs w:val="22"/>
          <w:lang w:val="es-MX" w:eastAsia="en-US"/>
        </w:rPr>
      </w:pPr>
    </w:p>
    <w:p w14:paraId="458E0E9E"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Activo</w:t>
      </w:r>
    </w:p>
    <w:p w14:paraId="75D38FBF" w14:textId="77777777" w:rsidR="007643EF" w:rsidRPr="007643EF" w:rsidRDefault="007643EF" w:rsidP="007643EF">
      <w:pPr>
        <w:jc w:val="both"/>
        <w:rPr>
          <w:rFonts w:eastAsia="Calibri"/>
          <w:iCs w:val="0"/>
          <w:lang w:val="es-MX" w:eastAsia="en-US"/>
        </w:rPr>
      </w:pPr>
    </w:p>
    <w:p w14:paraId="503E961C"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El activo se compone de los fondos, valores, derechos y bienes cuantificados en términos monetarios, los cuales controla y dispone el Gobierno Estatal para la prestación de servicios públicos, este se integra como sigue:</w:t>
      </w:r>
    </w:p>
    <w:p w14:paraId="0C11969A" w14:textId="77777777" w:rsidR="007643EF" w:rsidRPr="007643EF" w:rsidRDefault="007643EF" w:rsidP="007643EF">
      <w:pPr>
        <w:jc w:val="both"/>
        <w:rPr>
          <w:rFonts w:eastAsia="Calibri"/>
          <w:iCs w:val="0"/>
          <w:lang w:val="es-MX" w:eastAsia="en-US"/>
        </w:rPr>
      </w:pPr>
    </w:p>
    <w:p w14:paraId="0CC6DBDA" w14:textId="77777777" w:rsidR="007643EF" w:rsidRDefault="007643EF">
      <w:pPr>
        <w:rPr>
          <w:rFonts w:cs="Times New Roman"/>
          <w:b/>
          <w:iCs w:val="0"/>
          <w:szCs w:val="22"/>
          <w:lang w:val="es-MX" w:eastAsia="en-US"/>
        </w:rPr>
      </w:pPr>
      <w:r>
        <w:rPr>
          <w:rFonts w:cs="Times New Roman"/>
          <w:b/>
          <w:iCs w:val="0"/>
          <w:szCs w:val="22"/>
          <w:lang w:val="es-MX" w:eastAsia="en-US"/>
        </w:rPr>
        <w:br w:type="page"/>
      </w:r>
    </w:p>
    <w:p w14:paraId="19CB510A" w14:textId="735486DE"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Circulante</w:t>
      </w:r>
    </w:p>
    <w:p w14:paraId="27F09DDD" w14:textId="77777777" w:rsidR="007643EF" w:rsidRPr="007643EF" w:rsidRDefault="007643EF" w:rsidP="007643EF">
      <w:pPr>
        <w:autoSpaceDE w:val="0"/>
        <w:autoSpaceDN w:val="0"/>
        <w:adjustRightInd w:val="0"/>
        <w:jc w:val="both"/>
        <w:rPr>
          <w:rFonts w:eastAsia="Calibri"/>
          <w:b/>
          <w:bCs/>
          <w:iCs w:val="0"/>
          <w:lang w:val="es-MX" w:eastAsia="en-US"/>
        </w:rPr>
      </w:pPr>
    </w:p>
    <w:p w14:paraId="54E4E7B9" w14:textId="77777777" w:rsidR="007643EF" w:rsidRPr="007643EF" w:rsidRDefault="007643EF" w:rsidP="007643EF">
      <w:pPr>
        <w:autoSpaceDE w:val="0"/>
        <w:autoSpaceDN w:val="0"/>
        <w:adjustRightInd w:val="0"/>
        <w:jc w:val="center"/>
        <w:rPr>
          <w:rFonts w:eastAsia="Calibri"/>
          <w:b/>
          <w:bCs/>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5DD2F044" wp14:editId="00584A95">
            <wp:extent cx="2524836" cy="2655673"/>
            <wp:effectExtent l="0" t="0" r="889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4892" cy="2655732"/>
                    </a:xfrm>
                    <a:prstGeom prst="rect">
                      <a:avLst/>
                    </a:prstGeom>
                    <a:noFill/>
                    <a:ln>
                      <a:noFill/>
                    </a:ln>
                  </pic:spPr>
                </pic:pic>
              </a:graphicData>
            </a:graphic>
          </wp:inline>
        </w:drawing>
      </w:r>
    </w:p>
    <w:p w14:paraId="6C9A8623" w14:textId="77777777" w:rsidR="007643EF" w:rsidRPr="007643EF" w:rsidRDefault="007643EF" w:rsidP="007643EF">
      <w:pPr>
        <w:widowControl w:val="0"/>
        <w:jc w:val="both"/>
        <w:rPr>
          <w:rFonts w:cs="Times New Roman"/>
          <w:b/>
          <w:i/>
          <w:iCs w:val="0"/>
          <w:snapToGrid w:val="0"/>
          <w:u w:val="single"/>
          <w:lang w:val="es-MX"/>
        </w:rPr>
      </w:pPr>
    </w:p>
    <w:p w14:paraId="7F18D60F" w14:textId="77777777" w:rsidR="007643EF" w:rsidRPr="007643EF" w:rsidRDefault="007643EF" w:rsidP="007643EF">
      <w:pPr>
        <w:widowControl w:val="0"/>
        <w:jc w:val="both"/>
        <w:rPr>
          <w:rFonts w:cs="Times New Roman"/>
          <w:b/>
          <w:i/>
          <w:iCs w:val="0"/>
          <w:snapToGrid w:val="0"/>
          <w:u w:val="single"/>
          <w:lang w:val="es-MX"/>
        </w:rPr>
      </w:pPr>
    </w:p>
    <w:p w14:paraId="76D90CA2"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Efectivo y equivalentes</w:t>
      </w:r>
    </w:p>
    <w:p w14:paraId="7FC6A78C" w14:textId="77777777" w:rsidR="007643EF" w:rsidRPr="007643EF" w:rsidRDefault="007643EF" w:rsidP="007643EF">
      <w:pPr>
        <w:widowControl w:val="0"/>
        <w:jc w:val="both"/>
        <w:rPr>
          <w:rFonts w:cs="Times New Roman"/>
          <w:b/>
          <w:i/>
          <w:iCs w:val="0"/>
          <w:snapToGrid w:val="0"/>
          <w:u w:val="single"/>
          <w:lang w:val="es-MX"/>
        </w:rPr>
      </w:pPr>
    </w:p>
    <w:p w14:paraId="03169A14"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El rubro de efectivo y equivalentes al 31 de diciembre de 2023, asciende a un monto de 14 mil 97.8 millones de pesos, y representa el 98.7 %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15219A41" w14:textId="77777777" w:rsidR="007643EF" w:rsidRPr="007643EF" w:rsidRDefault="007643EF" w:rsidP="007643EF">
      <w:pPr>
        <w:autoSpaceDE w:val="0"/>
        <w:autoSpaceDN w:val="0"/>
        <w:adjustRightInd w:val="0"/>
        <w:jc w:val="both"/>
        <w:rPr>
          <w:rFonts w:eastAsia="Calibri"/>
          <w:iCs w:val="0"/>
          <w:lang w:val="es-MX" w:eastAsia="en-US"/>
        </w:rPr>
      </w:pPr>
    </w:p>
    <w:p w14:paraId="452770CE"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También, se registra en este rubro lo siguiente:</w:t>
      </w:r>
    </w:p>
    <w:p w14:paraId="151F5A5E" w14:textId="77777777" w:rsidR="007643EF" w:rsidRPr="007643EF" w:rsidRDefault="007643EF" w:rsidP="007643EF">
      <w:pPr>
        <w:autoSpaceDE w:val="0"/>
        <w:autoSpaceDN w:val="0"/>
        <w:adjustRightInd w:val="0"/>
        <w:jc w:val="both"/>
        <w:rPr>
          <w:rFonts w:eastAsia="Calibri"/>
          <w:iCs w:val="0"/>
          <w:lang w:val="es-MX" w:eastAsia="en-US"/>
        </w:rPr>
      </w:pPr>
    </w:p>
    <w:p w14:paraId="6EDA7F38" w14:textId="77777777" w:rsidR="007643EF" w:rsidRPr="007643EF" w:rsidRDefault="007643EF" w:rsidP="007643EF">
      <w:pPr>
        <w:numPr>
          <w:ilvl w:val="0"/>
          <w:numId w:val="2"/>
        </w:numPr>
        <w:spacing w:after="120"/>
        <w:ind w:left="357" w:hanging="357"/>
        <w:jc w:val="both"/>
        <w:rPr>
          <w:rFonts w:eastAsia="MS Mincho"/>
          <w:iCs w:val="0"/>
          <w:lang w:val="es-MX" w:eastAsia="es-MX"/>
        </w:rPr>
      </w:pPr>
      <w:r w:rsidRPr="007643EF">
        <w:rPr>
          <w:rFonts w:eastAsia="MS Mincho"/>
          <w:iCs w:val="0"/>
          <w:lang w:val="es-MX" w:eastAsia="es-MX"/>
        </w:rPr>
        <w:t>Los ingresos por venta de bienes y prestación de servicios, por cuotas y aportaciones de seguridad social, así como, por el pago de impuestos, derechos, productos y aprovechamientos obtenidos en los centros locales recaudatorios.</w:t>
      </w:r>
    </w:p>
    <w:p w14:paraId="4F4F7497" w14:textId="77777777" w:rsidR="007643EF" w:rsidRPr="007643EF" w:rsidRDefault="007643EF" w:rsidP="007643EF">
      <w:pPr>
        <w:numPr>
          <w:ilvl w:val="0"/>
          <w:numId w:val="2"/>
        </w:numPr>
        <w:spacing w:after="120"/>
        <w:ind w:left="357" w:hanging="357"/>
        <w:jc w:val="both"/>
        <w:rPr>
          <w:rFonts w:eastAsia="MS Mincho"/>
          <w:iCs w:val="0"/>
          <w:lang w:val="es-MX" w:eastAsia="es-MX"/>
        </w:rPr>
      </w:pPr>
      <w:r w:rsidRPr="007643EF">
        <w:rPr>
          <w:iCs w:val="0"/>
          <w:lang w:val="es-MX" w:eastAsia="es-MX"/>
        </w:rPr>
        <w:t>Los recursos colocados en inversiones en mesa de dinero.</w:t>
      </w:r>
    </w:p>
    <w:p w14:paraId="36389867" w14:textId="77777777" w:rsidR="007643EF" w:rsidRPr="007643EF" w:rsidRDefault="007643EF" w:rsidP="007643EF">
      <w:pPr>
        <w:numPr>
          <w:ilvl w:val="0"/>
          <w:numId w:val="2"/>
        </w:numPr>
        <w:spacing w:after="120"/>
        <w:ind w:left="357" w:hanging="357"/>
        <w:jc w:val="both"/>
        <w:rPr>
          <w:rFonts w:eastAsia="MS Mincho"/>
          <w:iCs w:val="0"/>
          <w:lang w:val="es-MX" w:eastAsia="es-MX"/>
        </w:rPr>
      </w:pPr>
      <w:r w:rsidRPr="007643EF">
        <w:rPr>
          <w:rFonts w:eastAsia="MS Mincho"/>
          <w:iCs w:val="0"/>
          <w:lang w:val="es-MX" w:eastAsia="es-MX"/>
        </w:rPr>
        <w:t>Los depósitos otorgados a terceros por el servicio de arrendamiento de instalaciones o equipos utilizados por los entes públicos.</w:t>
      </w:r>
    </w:p>
    <w:p w14:paraId="343B6F33" w14:textId="77777777" w:rsidR="007643EF" w:rsidRPr="007643EF" w:rsidRDefault="007643EF" w:rsidP="007643EF">
      <w:pPr>
        <w:numPr>
          <w:ilvl w:val="0"/>
          <w:numId w:val="2"/>
        </w:numPr>
        <w:spacing w:after="120"/>
        <w:ind w:left="357" w:hanging="357"/>
        <w:jc w:val="both"/>
        <w:rPr>
          <w:rFonts w:eastAsia="MS Mincho"/>
          <w:iCs w:val="0"/>
          <w:lang w:val="es-MX" w:eastAsia="es-MX"/>
        </w:rPr>
      </w:pPr>
      <w:r w:rsidRPr="007643EF">
        <w:rPr>
          <w:iCs w:val="0"/>
          <w:lang w:val="es-MX" w:eastAsia="es-MX"/>
        </w:rPr>
        <w:t>Los rendimientos con recursos por ingresos de libre disposición y por transferencias federales etiquetadas.</w:t>
      </w:r>
    </w:p>
    <w:p w14:paraId="6725D1D0"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Asimismo, se incluye el fondo revolvente y cuentas por gastos a comprobar asignado a funcionarios del Gobierno del Estado, para cubrir gastos menores y emergentes.</w:t>
      </w:r>
    </w:p>
    <w:p w14:paraId="30EF140C" w14:textId="77777777" w:rsidR="007643EF" w:rsidRPr="007643EF" w:rsidRDefault="007643EF" w:rsidP="007643EF">
      <w:pPr>
        <w:autoSpaceDE w:val="0"/>
        <w:autoSpaceDN w:val="0"/>
        <w:adjustRightInd w:val="0"/>
        <w:jc w:val="both"/>
        <w:rPr>
          <w:rFonts w:eastAsia="Calibri"/>
          <w:iCs w:val="0"/>
          <w:lang w:val="es-MX" w:eastAsia="en-US"/>
        </w:rPr>
      </w:pPr>
    </w:p>
    <w:p w14:paraId="5EE0D105"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31 de diciembre de 2023 y que incide en el patrimonio estatal.</w:t>
      </w:r>
    </w:p>
    <w:p w14:paraId="71BFA3A6" w14:textId="77777777" w:rsidR="007643EF" w:rsidRPr="007643EF" w:rsidRDefault="007643EF" w:rsidP="007643EF">
      <w:pPr>
        <w:autoSpaceDE w:val="0"/>
        <w:autoSpaceDN w:val="0"/>
        <w:adjustRightInd w:val="0"/>
        <w:jc w:val="both"/>
        <w:rPr>
          <w:rFonts w:eastAsia="Calibri"/>
          <w:iCs w:val="0"/>
          <w:lang w:val="es-MX" w:eastAsia="en-US"/>
        </w:rPr>
      </w:pPr>
    </w:p>
    <w:p w14:paraId="5FF61AA7"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5631DC7E" wp14:editId="51E4A79D">
            <wp:extent cx="3705225" cy="139192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7F69628A" w14:textId="77777777" w:rsidR="007643EF" w:rsidRPr="007643EF" w:rsidRDefault="007643EF" w:rsidP="007643EF">
      <w:pPr>
        <w:autoSpaceDE w:val="0"/>
        <w:autoSpaceDN w:val="0"/>
        <w:adjustRightInd w:val="0"/>
        <w:jc w:val="both"/>
        <w:rPr>
          <w:rFonts w:eastAsia="Calibri"/>
          <w:iCs w:val="0"/>
          <w:lang w:val="es-MX" w:eastAsia="en-US"/>
        </w:rPr>
      </w:pPr>
    </w:p>
    <w:p w14:paraId="694AD38B"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lastRenderedPageBreak/>
        <w:t>Derechos a recibir efectivo o equivalentes</w:t>
      </w:r>
    </w:p>
    <w:p w14:paraId="76A27387" w14:textId="77777777" w:rsidR="007643EF" w:rsidRPr="007643EF" w:rsidRDefault="007643EF" w:rsidP="007643EF">
      <w:pPr>
        <w:jc w:val="both"/>
        <w:outlineLvl w:val="0"/>
        <w:rPr>
          <w:rFonts w:eastAsia="Calibri"/>
          <w:b/>
          <w:bCs/>
          <w:lang w:val="es-MX" w:eastAsia="en-US"/>
        </w:rPr>
      </w:pPr>
    </w:p>
    <w:p w14:paraId="513701CC"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Al 31 de diciembre de 2023, el rubro de derechos a recibir efectivo o equivalentes, se compone por:</w:t>
      </w:r>
    </w:p>
    <w:p w14:paraId="464CBD69" w14:textId="77777777" w:rsidR="007643EF" w:rsidRPr="007643EF" w:rsidRDefault="007643EF" w:rsidP="007643EF">
      <w:pPr>
        <w:jc w:val="both"/>
        <w:rPr>
          <w:rFonts w:eastAsia="Arial"/>
          <w:iCs w:val="0"/>
          <w:lang w:val="es-MX" w:eastAsia="en-US"/>
        </w:rPr>
      </w:pPr>
    </w:p>
    <w:p w14:paraId="090B37DE"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El manejo de los recursos financieros del Fondo de Aportaciones para la Seguridad Pública (FASP) y </w:t>
      </w:r>
      <w:proofErr w:type="gramStart"/>
      <w:r w:rsidRPr="007643EF">
        <w:rPr>
          <w:rFonts w:eastAsia="Calibri"/>
          <w:iCs w:val="0"/>
          <w:lang w:val="es-MX" w:eastAsia="en-US"/>
        </w:rPr>
        <w:t>del  Fondo</w:t>
      </w:r>
      <w:proofErr w:type="gramEnd"/>
      <w:r w:rsidRPr="007643EF">
        <w:rPr>
          <w:rFonts w:eastAsia="Calibri"/>
          <w:iCs w:val="0"/>
          <w:lang w:val="es-MX" w:eastAsia="en-US"/>
        </w:rPr>
        <w:t xml:space="preserve"> para el Fortalecimiento de las Instituciones de Seguridad Pública (FOFISP) establecido en el lineamiento aplicable, así como, el subsidio al empleo y los recursos por embargo a cuentas bancarias derivado de laudos, pendientes de recuperar.</w:t>
      </w:r>
    </w:p>
    <w:p w14:paraId="0E6B0782" w14:textId="77777777" w:rsidR="007643EF" w:rsidRPr="007643EF" w:rsidRDefault="007643EF" w:rsidP="007643EF">
      <w:pPr>
        <w:jc w:val="both"/>
        <w:rPr>
          <w:rFonts w:eastAsia="Arial"/>
          <w:iCs w:val="0"/>
          <w:lang w:val="es-MX" w:eastAsia="en-US"/>
        </w:rPr>
      </w:pPr>
    </w:p>
    <w:p w14:paraId="3B0BC11F"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Se incluyen, los descuentos realizados a la participación federal por concepto de adeudos al Instituto de Seguridad y Servicios Sociales de los Trabajadores del Estado (ISSSTE), los recursos del Impuesto Sobre Nóminas (ISN) por regularizar, así como, deudores morosos por gastos a comprobar, deudores por responsabilidades, depósitos indebidos y cargos bancarios por aclarar. </w:t>
      </w:r>
    </w:p>
    <w:p w14:paraId="4CFC9342" w14:textId="77777777" w:rsidR="007643EF" w:rsidRPr="007643EF" w:rsidRDefault="007643EF" w:rsidP="007643EF">
      <w:pPr>
        <w:autoSpaceDE w:val="0"/>
        <w:autoSpaceDN w:val="0"/>
        <w:adjustRightInd w:val="0"/>
        <w:jc w:val="both"/>
        <w:rPr>
          <w:rFonts w:eastAsia="Calibri"/>
          <w:iCs w:val="0"/>
          <w:lang w:val="es-MX" w:eastAsia="en-US"/>
        </w:rPr>
      </w:pPr>
    </w:p>
    <w:p w14:paraId="10AA3261" w14:textId="77777777" w:rsidR="007643EF" w:rsidRPr="007643EF" w:rsidRDefault="007643EF" w:rsidP="007643EF">
      <w:pPr>
        <w:jc w:val="both"/>
        <w:rPr>
          <w:rFonts w:eastAsia="Arial"/>
          <w:iCs w:val="0"/>
          <w:lang w:val="es-MX" w:eastAsia="en-US"/>
        </w:rPr>
      </w:pPr>
      <w:r w:rsidRPr="007643EF">
        <w:rPr>
          <w:rFonts w:eastAsia="Calibri"/>
          <w:iCs w:val="0"/>
          <w:lang w:val="es-MX" w:eastAsia="en-US"/>
        </w:rPr>
        <w:t xml:space="preserve">También, se encuentran los ingresos por recuperar y </w:t>
      </w:r>
      <w:r w:rsidRPr="007643EF">
        <w:rPr>
          <w:rFonts w:eastAsia="Arial"/>
          <w:iCs w:val="0"/>
          <w:lang w:val="es-MX" w:eastAsia="en-US"/>
        </w:rPr>
        <w:t>los préstamos otorgados al personal de la Universidad Autónoma de Chiapas.</w:t>
      </w:r>
    </w:p>
    <w:p w14:paraId="6C5B8030" w14:textId="77777777" w:rsidR="007643EF" w:rsidRPr="007643EF" w:rsidRDefault="007643EF" w:rsidP="007643EF">
      <w:pPr>
        <w:autoSpaceDE w:val="0"/>
        <w:autoSpaceDN w:val="0"/>
        <w:adjustRightInd w:val="0"/>
        <w:jc w:val="both"/>
        <w:rPr>
          <w:rFonts w:eastAsia="Calibri"/>
          <w:iCs w:val="0"/>
          <w:lang w:val="es-MX" w:eastAsia="en-US"/>
        </w:rPr>
      </w:pPr>
    </w:p>
    <w:p w14:paraId="0D51A02F"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En su totalidad este rubro asciende a 62.0 millones de pesos y representa el 0.4 % del total del activo circulante.</w:t>
      </w:r>
    </w:p>
    <w:p w14:paraId="0F7AF089" w14:textId="77777777" w:rsidR="007643EF" w:rsidRPr="007643EF" w:rsidRDefault="007643EF" w:rsidP="007643EF">
      <w:pPr>
        <w:autoSpaceDE w:val="0"/>
        <w:autoSpaceDN w:val="0"/>
        <w:adjustRightInd w:val="0"/>
        <w:jc w:val="both"/>
        <w:rPr>
          <w:rFonts w:eastAsia="Calibri"/>
          <w:iCs w:val="0"/>
          <w:lang w:val="es-MX" w:eastAsia="en-US"/>
        </w:rPr>
      </w:pPr>
    </w:p>
    <w:p w14:paraId="7A6A79DA"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4BFF1218" wp14:editId="1365F751">
            <wp:extent cx="3705225" cy="139192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61D1A857" w14:textId="77777777" w:rsidR="007643EF" w:rsidRPr="007643EF" w:rsidRDefault="007643EF" w:rsidP="007643EF">
      <w:pPr>
        <w:autoSpaceDE w:val="0"/>
        <w:autoSpaceDN w:val="0"/>
        <w:adjustRightInd w:val="0"/>
        <w:jc w:val="center"/>
        <w:rPr>
          <w:rFonts w:eastAsia="Calibri"/>
          <w:iCs w:val="0"/>
          <w:lang w:val="es-MX" w:eastAsia="en-US"/>
        </w:rPr>
      </w:pPr>
    </w:p>
    <w:p w14:paraId="4333ED18" w14:textId="77777777" w:rsidR="007643EF" w:rsidRPr="007643EF" w:rsidRDefault="007643EF" w:rsidP="007643EF">
      <w:pPr>
        <w:autoSpaceDE w:val="0"/>
        <w:autoSpaceDN w:val="0"/>
        <w:adjustRightInd w:val="0"/>
        <w:jc w:val="center"/>
        <w:rPr>
          <w:rFonts w:eastAsia="Calibri"/>
          <w:iCs w:val="0"/>
          <w:lang w:val="es-MX" w:eastAsia="en-US"/>
        </w:rPr>
      </w:pPr>
    </w:p>
    <w:p w14:paraId="3A1B833E"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Derechos a recibir bienes o servicios</w:t>
      </w:r>
    </w:p>
    <w:p w14:paraId="4C86ACFA" w14:textId="77777777" w:rsidR="007643EF" w:rsidRPr="007643EF" w:rsidRDefault="007643EF" w:rsidP="007643EF">
      <w:pPr>
        <w:jc w:val="both"/>
        <w:outlineLvl w:val="0"/>
        <w:rPr>
          <w:rFonts w:eastAsia="Calibri"/>
          <w:b/>
          <w:bCs/>
          <w:i/>
          <w:lang w:val="es-MX" w:eastAsia="en-US"/>
        </w:rPr>
      </w:pPr>
    </w:p>
    <w:p w14:paraId="65A6C949" w14:textId="77777777" w:rsidR="007643EF" w:rsidRPr="007643EF" w:rsidRDefault="007643EF" w:rsidP="007643EF">
      <w:pPr>
        <w:jc w:val="both"/>
        <w:rPr>
          <w:rFonts w:eastAsia="Arial"/>
          <w:iCs w:val="0"/>
          <w:lang w:val="es-MX" w:eastAsia="en-US"/>
        </w:rPr>
      </w:pPr>
      <w:r w:rsidRPr="007643EF">
        <w:rPr>
          <w:rFonts w:eastAsia="Arial"/>
          <w:iCs w:val="0"/>
          <w:lang w:val="es-MX" w:eastAsia="en-US"/>
        </w:rPr>
        <w:t>El saldo de este rubro por 13.1 millones de pesos, de los derechos a recibir bienes o servicios, corresponde a los anticipos otorgados a contratistas para la ejecución de obras en proceso, en bienes propios y en bienes de dominio público del Gobierno del Estado.</w:t>
      </w:r>
    </w:p>
    <w:p w14:paraId="4A84E6E3" w14:textId="77777777" w:rsidR="007643EF" w:rsidRPr="007643EF" w:rsidRDefault="007643EF" w:rsidP="007643EF">
      <w:pPr>
        <w:jc w:val="both"/>
        <w:rPr>
          <w:rFonts w:eastAsia="Arial"/>
          <w:iCs w:val="0"/>
          <w:lang w:val="es-MX" w:eastAsia="en-US"/>
        </w:rPr>
      </w:pPr>
    </w:p>
    <w:p w14:paraId="679A657C"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También, se integra por los anticipos otorgados a proveedores por adquisición de bienes intangibles, al 31 de diciembre de 2023.</w:t>
      </w:r>
    </w:p>
    <w:p w14:paraId="293429C7" w14:textId="77777777" w:rsidR="007643EF" w:rsidRPr="007643EF" w:rsidRDefault="007643EF" w:rsidP="007643EF">
      <w:pPr>
        <w:autoSpaceDE w:val="0"/>
        <w:autoSpaceDN w:val="0"/>
        <w:adjustRightInd w:val="0"/>
        <w:jc w:val="both"/>
        <w:rPr>
          <w:rFonts w:eastAsia="Calibri"/>
          <w:iCs w:val="0"/>
          <w:lang w:val="es-MX" w:eastAsia="en-US"/>
        </w:rPr>
      </w:pPr>
    </w:p>
    <w:p w14:paraId="5133881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Respecto al total del activo circulante representa el 0.1%.</w:t>
      </w:r>
    </w:p>
    <w:p w14:paraId="40F7C6AC" w14:textId="77777777" w:rsidR="007643EF" w:rsidRPr="007643EF" w:rsidRDefault="007643EF" w:rsidP="007643EF">
      <w:pPr>
        <w:autoSpaceDE w:val="0"/>
        <w:autoSpaceDN w:val="0"/>
        <w:adjustRightInd w:val="0"/>
        <w:jc w:val="both"/>
        <w:rPr>
          <w:rFonts w:eastAsia="Calibri"/>
          <w:iCs w:val="0"/>
          <w:lang w:val="es-MX" w:eastAsia="en-US"/>
        </w:rPr>
      </w:pPr>
    </w:p>
    <w:p w14:paraId="7C8D8DCC" w14:textId="77777777" w:rsidR="007643EF" w:rsidRPr="007643EF" w:rsidRDefault="007643EF" w:rsidP="007643EF">
      <w:pPr>
        <w:jc w:val="center"/>
        <w:outlineLvl w:val="0"/>
        <w:rPr>
          <w:rFonts w:eastAsia="Calibri"/>
          <w:b/>
          <w:bCs/>
          <w: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49CD94AC" wp14:editId="6ECD77CD">
            <wp:extent cx="3705225" cy="14192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1419225"/>
                    </a:xfrm>
                    <a:prstGeom prst="rect">
                      <a:avLst/>
                    </a:prstGeom>
                    <a:noFill/>
                    <a:ln>
                      <a:noFill/>
                    </a:ln>
                  </pic:spPr>
                </pic:pic>
              </a:graphicData>
            </a:graphic>
          </wp:inline>
        </w:drawing>
      </w:r>
    </w:p>
    <w:p w14:paraId="5D85B8BA" w14:textId="77777777" w:rsidR="007643EF" w:rsidRPr="007643EF" w:rsidRDefault="007643EF" w:rsidP="007643EF">
      <w:pPr>
        <w:jc w:val="both"/>
        <w:outlineLvl w:val="0"/>
        <w:rPr>
          <w:rFonts w:eastAsia="Calibri"/>
          <w:b/>
          <w:bCs/>
          <w:i/>
          <w:iCs w:val="0"/>
          <w:lang w:val="es-MX" w:eastAsia="en-US"/>
        </w:rPr>
      </w:pPr>
    </w:p>
    <w:p w14:paraId="6E0CADE1" w14:textId="77777777" w:rsidR="007643EF" w:rsidRPr="007643EF" w:rsidRDefault="007643EF" w:rsidP="007643EF">
      <w:pPr>
        <w:jc w:val="both"/>
        <w:outlineLvl w:val="0"/>
        <w:rPr>
          <w:rFonts w:eastAsia="Calibri"/>
          <w:b/>
          <w:bCs/>
          <w:i/>
          <w:iCs w:val="0"/>
          <w:lang w:val="es-MX" w:eastAsia="en-US"/>
        </w:rPr>
      </w:pPr>
    </w:p>
    <w:p w14:paraId="777789AB"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Inventarios</w:t>
      </w:r>
    </w:p>
    <w:p w14:paraId="3FE96BEB" w14:textId="77777777" w:rsidR="007643EF" w:rsidRPr="007643EF" w:rsidRDefault="007643EF" w:rsidP="007643EF">
      <w:pPr>
        <w:autoSpaceDE w:val="0"/>
        <w:autoSpaceDN w:val="0"/>
        <w:adjustRightInd w:val="0"/>
        <w:jc w:val="both"/>
        <w:rPr>
          <w:rFonts w:eastAsia="Calibri"/>
          <w:iCs w:val="0"/>
          <w:lang w:val="es-MX" w:eastAsia="es-MX"/>
        </w:rPr>
      </w:pPr>
    </w:p>
    <w:p w14:paraId="78DDE784" w14:textId="77777777" w:rsidR="007643EF" w:rsidRPr="007643EF" w:rsidRDefault="007643EF" w:rsidP="007643EF">
      <w:pPr>
        <w:autoSpaceDE w:val="0"/>
        <w:autoSpaceDN w:val="0"/>
        <w:adjustRightInd w:val="0"/>
        <w:jc w:val="both"/>
        <w:rPr>
          <w:rFonts w:eastAsia="Calibri"/>
          <w:iCs w:val="0"/>
          <w:lang w:val="es-MX" w:eastAsia="es-MX"/>
        </w:rPr>
      </w:pPr>
      <w:r w:rsidRPr="007643EF">
        <w:rPr>
          <w:rFonts w:eastAsia="Calibri"/>
          <w:iCs w:val="0"/>
          <w:lang w:val="es-MX" w:eastAsia="es-MX"/>
        </w:rPr>
        <w:t xml:space="preserve">Al </w:t>
      </w:r>
      <w:r w:rsidRPr="007643EF">
        <w:rPr>
          <w:rFonts w:eastAsia="Calibri"/>
          <w:iCs w:val="0"/>
          <w:lang w:val="es-MX" w:eastAsia="en-US"/>
        </w:rPr>
        <w:t>31 de diciembre de 2023</w:t>
      </w:r>
      <w:r w:rsidRPr="007643EF">
        <w:rPr>
          <w:rFonts w:eastAsia="Calibri"/>
          <w:iCs w:val="0"/>
          <w:lang w:val="es-MX" w:eastAsia="es-MX"/>
        </w:rPr>
        <w:t>, el rubro de inventarios asciende a 0.7 millones de pesos, y refleja el registro de bienes inventariables de la Universidad Autónoma de Chiapas, mismos que se encuentran pendientes de asignación y/o regularización.</w:t>
      </w:r>
    </w:p>
    <w:p w14:paraId="7407A84A" w14:textId="77777777" w:rsidR="007643EF" w:rsidRPr="007643EF" w:rsidRDefault="007643EF" w:rsidP="007643EF">
      <w:pPr>
        <w:autoSpaceDE w:val="0"/>
        <w:autoSpaceDN w:val="0"/>
        <w:adjustRightInd w:val="0"/>
        <w:jc w:val="both"/>
        <w:rPr>
          <w:rFonts w:eastAsia="Calibri"/>
          <w:iCs w:val="0"/>
          <w:lang w:val="es-MX" w:eastAsia="es-MX"/>
        </w:rPr>
      </w:pPr>
    </w:p>
    <w:p w14:paraId="64D00A1A" w14:textId="77777777" w:rsidR="007643EF" w:rsidRPr="007643EF" w:rsidRDefault="007643EF" w:rsidP="007643EF">
      <w:pPr>
        <w:autoSpaceDE w:val="0"/>
        <w:autoSpaceDN w:val="0"/>
        <w:adjustRightInd w:val="0"/>
        <w:jc w:val="center"/>
        <w:rPr>
          <w:rFonts w:eastAsia="Calibri"/>
          <w:iCs w:val="0"/>
          <w:lang w:val="es-MX" w:eastAsia="es-MX"/>
        </w:rPr>
      </w:pPr>
      <w:r w:rsidRPr="007643EF">
        <w:rPr>
          <w:rFonts w:ascii="Calibri" w:eastAsia="Calibri" w:hAnsi="Calibri" w:cs="Times New Roman"/>
          <w:iCs w:val="0"/>
          <w:noProof/>
          <w:sz w:val="22"/>
          <w:szCs w:val="22"/>
          <w:lang w:val="es-MX" w:eastAsia="es-MX"/>
        </w:rPr>
        <w:lastRenderedPageBreak/>
        <w:drawing>
          <wp:inline distT="0" distB="0" distL="0" distR="0" wp14:anchorId="5B79F433" wp14:editId="709A24C3">
            <wp:extent cx="3705225" cy="1473835"/>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1473835"/>
                    </a:xfrm>
                    <a:prstGeom prst="rect">
                      <a:avLst/>
                    </a:prstGeom>
                    <a:noFill/>
                    <a:ln>
                      <a:noFill/>
                    </a:ln>
                  </pic:spPr>
                </pic:pic>
              </a:graphicData>
            </a:graphic>
          </wp:inline>
        </w:drawing>
      </w:r>
    </w:p>
    <w:p w14:paraId="1C2084F4" w14:textId="77777777" w:rsidR="007643EF" w:rsidRPr="007643EF" w:rsidRDefault="007643EF" w:rsidP="007643EF">
      <w:pPr>
        <w:jc w:val="both"/>
        <w:outlineLvl w:val="0"/>
        <w:rPr>
          <w:rFonts w:eastAsia="Calibri"/>
          <w:b/>
          <w:bCs/>
          <w:i/>
          <w:iCs w:val="0"/>
          <w:lang w:val="es-MX" w:eastAsia="en-US"/>
        </w:rPr>
      </w:pPr>
    </w:p>
    <w:p w14:paraId="269941A2" w14:textId="77777777" w:rsidR="007643EF" w:rsidRPr="007643EF" w:rsidRDefault="007643EF" w:rsidP="007643EF">
      <w:pPr>
        <w:jc w:val="both"/>
        <w:outlineLvl w:val="0"/>
        <w:rPr>
          <w:rFonts w:eastAsia="Calibri"/>
          <w:b/>
          <w:bCs/>
          <w:i/>
          <w:iCs w:val="0"/>
          <w:lang w:val="es-MX" w:eastAsia="en-US"/>
        </w:rPr>
      </w:pPr>
    </w:p>
    <w:p w14:paraId="6077B825"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Almacenes</w:t>
      </w:r>
    </w:p>
    <w:p w14:paraId="6BE04A8A" w14:textId="77777777" w:rsidR="007643EF" w:rsidRPr="007643EF" w:rsidRDefault="007643EF" w:rsidP="007643EF">
      <w:pPr>
        <w:jc w:val="both"/>
        <w:outlineLvl w:val="0"/>
        <w:rPr>
          <w:rFonts w:eastAsia="Calibri"/>
          <w:b/>
          <w:bCs/>
          <w:i/>
          <w:lang w:val="es-MX" w:eastAsia="en-US"/>
        </w:rPr>
      </w:pPr>
    </w:p>
    <w:p w14:paraId="16988DF1" w14:textId="77777777" w:rsidR="007643EF" w:rsidRPr="007643EF" w:rsidRDefault="007643EF" w:rsidP="007643EF">
      <w:pPr>
        <w:autoSpaceDE w:val="0"/>
        <w:autoSpaceDN w:val="0"/>
        <w:adjustRightInd w:val="0"/>
        <w:jc w:val="both"/>
        <w:rPr>
          <w:rFonts w:eastAsia="Calibri"/>
          <w:iCs w:val="0"/>
          <w:lang w:val="es-MX" w:eastAsia="es-MX"/>
        </w:rPr>
      </w:pPr>
      <w:r w:rsidRPr="007643EF">
        <w:rPr>
          <w:rFonts w:eastAsia="Calibri"/>
          <w:iCs w:val="0"/>
          <w:lang w:val="es-MX" w:eastAsia="es-MX"/>
        </w:rPr>
        <w:t xml:space="preserve">El rubro de almacenes asciende a 112.8 millones de pesos y representa el 0.8 % del total del activo circulante, y refleja la existencia física de consumibles que se tienen en los almacenes </w:t>
      </w:r>
      <w:r w:rsidRPr="007643EF">
        <w:rPr>
          <w:rFonts w:eastAsia="Calibri"/>
          <w:iCs w:val="0"/>
          <w:lang w:val="es-MX" w:eastAsia="en-US"/>
        </w:rPr>
        <w:t>al 31 de diciembre de 2023</w:t>
      </w:r>
      <w:r w:rsidRPr="007643EF">
        <w:rPr>
          <w:rFonts w:eastAsia="Calibri"/>
          <w:iCs w:val="0"/>
          <w:lang w:val="es-MX"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artículos deportivos y combustible.</w:t>
      </w:r>
    </w:p>
    <w:p w14:paraId="758A0920" w14:textId="77777777" w:rsidR="007643EF" w:rsidRPr="007643EF" w:rsidRDefault="007643EF" w:rsidP="007643EF">
      <w:pPr>
        <w:autoSpaceDE w:val="0"/>
        <w:autoSpaceDN w:val="0"/>
        <w:adjustRightInd w:val="0"/>
        <w:jc w:val="both"/>
        <w:rPr>
          <w:rFonts w:eastAsia="Calibri"/>
          <w:iCs w:val="0"/>
          <w:lang w:val="es-MX" w:eastAsia="es-MX"/>
        </w:rPr>
      </w:pPr>
    </w:p>
    <w:p w14:paraId="4B8D01C4" w14:textId="77777777" w:rsidR="007643EF" w:rsidRPr="007643EF" w:rsidRDefault="007643EF" w:rsidP="007643EF">
      <w:pPr>
        <w:autoSpaceDE w:val="0"/>
        <w:autoSpaceDN w:val="0"/>
        <w:adjustRightInd w:val="0"/>
        <w:jc w:val="center"/>
        <w:rPr>
          <w:rFonts w:eastAsia="Calibri"/>
          <w:iCs w:val="0"/>
          <w:lang w:val="es-MX" w:eastAsia="es-MX"/>
        </w:rPr>
      </w:pPr>
      <w:r w:rsidRPr="007643EF">
        <w:rPr>
          <w:rFonts w:ascii="Calibri" w:eastAsia="Calibri" w:hAnsi="Calibri" w:cs="Times New Roman"/>
          <w:iCs w:val="0"/>
          <w:noProof/>
          <w:sz w:val="22"/>
          <w:szCs w:val="22"/>
          <w:lang w:val="es-MX" w:eastAsia="es-MX"/>
        </w:rPr>
        <w:drawing>
          <wp:inline distT="0" distB="0" distL="0" distR="0" wp14:anchorId="64813DAE" wp14:editId="4D282B54">
            <wp:extent cx="3705225" cy="1446530"/>
            <wp:effectExtent l="0" t="0" r="9525"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225" cy="1446530"/>
                    </a:xfrm>
                    <a:prstGeom prst="rect">
                      <a:avLst/>
                    </a:prstGeom>
                    <a:noFill/>
                    <a:ln>
                      <a:noFill/>
                    </a:ln>
                  </pic:spPr>
                </pic:pic>
              </a:graphicData>
            </a:graphic>
          </wp:inline>
        </w:drawing>
      </w:r>
    </w:p>
    <w:p w14:paraId="73892F9A" w14:textId="70F41B9B" w:rsidR="007643EF" w:rsidRDefault="007643EF" w:rsidP="007643EF">
      <w:pPr>
        <w:rPr>
          <w:rFonts w:cs="Times New Roman"/>
          <w:b/>
          <w:iCs w:val="0"/>
          <w:szCs w:val="24"/>
        </w:rPr>
      </w:pPr>
    </w:p>
    <w:p w14:paraId="5FD40277" w14:textId="77777777" w:rsidR="007643EF" w:rsidRPr="007643EF" w:rsidRDefault="007643EF" w:rsidP="007643EF">
      <w:pPr>
        <w:rPr>
          <w:rFonts w:cs="Times New Roman"/>
          <w:b/>
          <w:iCs w:val="0"/>
          <w:szCs w:val="24"/>
        </w:rPr>
      </w:pPr>
    </w:p>
    <w:p w14:paraId="7B89A0D4" w14:textId="43ECEE92" w:rsidR="007643EF" w:rsidRPr="007643EF" w:rsidRDefault="007643EF" w:rsidP="007643EF">
      <w:pPr>
        <w:rPr>
          <w:rFonts w:cs="Times New Roman"/>
          <w:b/>
          <w:iCs w:val="0"/>
          <w:sz w:val="22"/>
          <w:szCs w:val="24"/>
        </w:rPr>
      </w:pPr>
      <w:r w:rsidRPr="007643EF">
        <w:rPr>
          <w:rFonts w:cs="Times New Roman"/>
          <w:b/>
          <w:iCs w:val="0"/>
          <w:sz w:val="22"/>
          <w:szCs w:val="24"/>
        </w:rPr>
        <w:t>No circulante</w:t>
      </w:r>
    </w:p>
    <w:p w14:paraId="69EBE30B" w14:textId="77777777" w:rsidR="007643EF" w:rsidRPr="007643EF" w:rsidRDefault="007643EF" w:rsidP="007643EF">
      <w:pPr>
        <w:autoSpaceDE w:val="0"/>
        <w:autoSpaceDN w:val="0"/>
        <w:adjustRightInd w:val="0"/>
        <w:jc w:val="both"/>
        <w:rPr>
          <w:rFonts w:eastAsia="Calibri"/>
          <w:b/>
          <w:bCs/>
          <w:iCs w:val="0"/>
          <w:lang w:val="es-MX" w:eastAsia="en-US"/>
        </w:rPr>
      </w:pPr>
    </w:p>
    <w:p w14:paraId="19720AEB" w14:textId="37318294" w:rsidR="007643EF" w:rsidRPr="007643EF" w:rsidRDefault="007643EF" w:rsidP="007643EF">
      <w:pPr>
        <w:autoSpaceDE w:val="0"/>
        <w:autoSpaceDN w:val="0"/>
        <w:adjustRightInd w:val="0"/>
        <w:jc w:val="center"/>
        <w:rPr>
          <w:rFonts w:eastAsia="Calibri"/>
          <w:b/>
          <w:bCs/>
          <w:iCs w:val="0"/>
          <w:lang w:val="es-MX" w:eastAsia="en-US"/>
        </w:rPr>
      </w:pPr>
      <w:r>
        <w:rPr>
          <w:rFonts w:eastAsia="Calibri"/>
          <w:b/>
          <w:bCs/>
          <w:iCs w:val="0"/>
          <w:noProof/>
          <w:lang w:val="es-MX" w:eastAsia="en-US"/>
        </w:rPr>
        <w:drawing>
          <wp:inline distT="0" distB="0" distL="0" distR="0" wp14:anchorId="0FF9B9FE" wp14:editId="48052714">
            <wp:extent cx="4391612" cy="3667125"/>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6267" cy="3687713"/>
                    </a:xfrm>
                    <a:prstGeom prst="rect">
                      <a:avLst/>
                    </a:prstGeom>
                    <a:noFill/>
                  </pic:spPr>
                </pic:pic>
              </a:graphicData>
            </a:graphic>
          </wp:inline>
        </w:drawing>
      </w:r>
    </w:p>
    <w:p w14:paraId="3CEC3398"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lastRenderedPageBreak/>
        <w:t>Inversiones financieras a largo plazo</w:t>
      </w:r>
    </w:p>
    <w:p w14:paraId="4C84341F" w14:textId="77777777" w:rsidR="007643EF" w:rsidRPr="007643EF" w:rsidRDefault="007643EF" w:rsidP="007643EF">
      <w:pPr>
        <w:jc w:val="both"/>
        <w:rPr>
          <w:rFonts w:eastAsia="Calibri"/>
          <w:iCs w:val="0"/>
          <w:lang w:val="es-MX" w:eastAsia="en-US"/>
        </w:rPr>
      </w:pPr>
    </w:p>
    <w:p w14:paraId="06D0644E" w14:textId="77777777" w:rsidR="007643EF" w:rsidRPr="007643EF" w:rsidRDefault="007643EF" w:rsidP="007643EF">
      <w:pPr>
        <w:jc w:val="both"/>
        <w:rPr>
          <w:rFonts w:eastAsia="Calibri" w:cs="Times New Roman"/>
          <w:iCs w:val="0"/>
          <w:szCs w:val="22"/>
          <w:lang w:val="es-MX" w:eastAsia="en-US"/>
        </w:rPr>
      </w:pPr>
      <w:r w:rsidRPr="007643EF">
        <w:rPr>
          <w:rFonts w:eastAsia="Calibri"/>
          <w:iCs w:val="0"/>
          <w:lang w:val="es-MX" w:eastAsia="en-US"/>
        </w:rPr>
        <w:t xml:space="preserve">El saldo por 1 mil 43.1 millones de pesos al 31 de diciembre de 2023, representa las erogaciones recuperables por la asignación de créditos directos o mediante fondos para actividades productivas, la adquisición de valores y las inversiones, los fideicomisos del Gobierno del Estado, orientados al fomento y financiamiento agroindustrial, al comercio, a los servicios educativos, y turísticos, al desarrollo agropecuario y ambiental, y al mejoramiento de la organización electoral. </w:t>
      </w:r>
      <w:r w:rsidRPr="007643EF">
        <w:rPr>
          <w:rFonts w:eastAsia="Calibri" w:cs="Times New Roman"/>
          <w:iCs w:val="0"/>
          <w:szCs w:val="22"/>
          <w:lang w:val="es-MX" w:eastAsia="en-US"/>
        </w:rPr>
        <w:t>Del total del activo no circulante, el 1.7 % corresponde a este rubro.</w:t>
      </w:r>
    </w:p>
    <w:p w14:paraId="03A4AC0D" w14:textId="77777777" w:rsidR="007643EF" w:rsidRPr="007643EF" w:rsidRDefault="007643EF" w:rsidP="007643EF">
      <w:pPr>
        <w:jc w:val="both"/>
        <w:rPr>
          <w:rFonts w:eastAsia="Calibri" w:cs="Times New Roman"/>
          <w:iCs w:val="0"/>
          <w:szCs w:val="22"/>
          <w:lang w:val="es-MX" w:eastAsia="en-US"/>
        </w:rPr>
      </w:pPr>
    </w:p>
    <w:p w14:paraId="5F692C89" w14:textId="77777777" w:rsidR="007643EF" w:rsidRPr="007643EF" w:rsidRDefault="007643EF" w:rsidP="007643EF">
      <w:pPr>
        <w:jc w:val="both"/>
        <w:rPr>
          <w:rFonts w:eastAsia="Calibri" w:cs="Times New Roman"/>
          <w:b/>
          <w:iCs w:val="0"/>
          <w:szCs w:val="22"/>
          <w:lang w:val="es-MX" w:eastAsia="en-US"/>
        </w:rPr>
      </w:pPr>
      <w:r w:rsidRPr="007643EF">
        <w:rPr>
          <w:rFonts w:eastAsia="Calibri" w:cs="Times New Roman"/>
          <w:iCs w:val="0"/>
          <w:szCs w:val="22"/>
          <w:lang w:val="es-MX" w:eastAsia="en-US"/>
        </w:rPr>
        <w:t>Títulos y valores a largo plazo</w:t>
      </w:r>
      <w:r w:rsidRPr="007643EF">
        <w:rPr>
          <w:rFonts w:eastAsia="Calibri" w:cs="Times New Roman"/>
          <w:b/>
          <w:iCs w:val="0"/>
          <w:szCs w:val="22"/>
          <w:lang w:val="es-MX" w:eastAsia="en-US"/>
        </w:rPr>
        <w:t xml:space="preserve">, </w:t>
      </w:r>
      <w:r w:rsidRPr="007643EF">
        <w:rPr>
          <w:rFonts w:eastAsia="Calibri" w:cs="Times New Roman"/>
          <w:iCs w:val="0"/>
          <w:szCs w:val="22"/>
          <w:lang w:val="es-MX" w:eastAsia="en-US"/>
        </w:rPr>
        <w:t>integrado por la concesión de créditos, protección social en salud y por las aportaciones de capital en el sector privado. A continuación, se mencionan los conceptos más representativos:</w:t>
      </w:r>
    </w:p>
    <w:p w14:paraId="60DE7E5A" w14:textId="77777777" w:rsidR="007643EF" w:rsidRPr="007643EF" w:rsidRDefault="007643EF" w:rsidP="007643EF">
      <w:pPr>
        <w:jc w:val="both"/>
        <w:rPr>
          <w:rFonts w:eastAsia="Calibri"/>
          <w:iCs w:val="0"/>
          <w:lang w:val="es-MX" w:eastAsia="en-US"/>
        </w:rPr>
      </w:pPr>
    </w:p>
    <w:p w14:paraId="52A222D4"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Protección social en salud.</w:t>
      </w:r>
    </w:p>
    <w:p w14:paraId="311EFA94"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Chiapas-SINCA.</w:t>
      </w:r>
    </w:p>
    <w:p w14:paraId="0C7FD842"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Concesión de créditos a productores.</w:t>
      </w:r>
    </w:p>
    <w:p w14:paraId="1F982350" w14:textId="77777777" w:rsidR="007643EF" w:rsidRPr="007643EF" w:rsidRDefault="007643EF" w:rsidP="007643EF">
      <w:pPr>
        <w:jc w:val="both"/>
        <w:rPr>
          <w:rFonts w:eastAsia="Calibri"/>
          <w:iCs w:val="0"/>
          <w:lang w:val="es-MX" w:eastAsia="en-US"/>
        </w:rPr>
      </w:pPr>
    </w:p>
    <w:p w14:paraId="2A8F648B"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Fideicomisos, mandatos y contratos análogos destacándose los siguientes:</w:t>
      </w:r>
    </w:p>
    <w:p w14:paraId="5A10EFFA" w14:textId="77777777" w:rsidR="007643EF" w:rsidRPr="007643EF" w:rsidRDefault="007643EF" w:rsidP="007643EF">
      <w:pPr>
        <w:jc w:val="both"/>
        <w:rPr>
          <w:rFonts w:eastAsia="Calibri"/>
          <w:iCs w:val="0"/>
          <w:lang w:val="es-MX" w:eastAsia="en-US"/>
        </w:rPr>
      </w:pPr>
    </w:p>
    <w:p w14:paraId="56D32E99"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de Apoyo a la Economía de las Mujeres (FAEM).</w:t>
      </w:r>
    </w:p>
    <w:p w14:paraId="7EAF892E"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Estatal Ambiental (FESA).</w:t>
      </w:r>
    </w:p>
    <w:p w14:paraId="2F2EB59A"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Fortalecimiento al Fondo de Financiamiento para las Empresas de Solidaridad Social del Sector Artesanal de Chiapas (FOFESSA).</w:t>
      </w:r>
    </w:p>
    <w:p w14:paraId="2DF9B395"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 xml:space="preserve">Fideicomiso para la Habilitación y Administración del Recinto Fiscalizado Estratégico Puerto Chiapas. </w:t>
      </w:r>
    </w:p>
    <w:p w14:paraId="5F6B1E6A"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de Fomento Económico Chiapas Solidario (FOFOE).</w:t>
      </w:r>
    </w:p>
    <w:p w14:paraId="2B7AA6B2"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Fideicomiso para el Impulso de Programas Prioritarios en el Estado de Chiapas (FIPRECH).</w:t>
      </w:r>
    </w:p>
    <w:p w14:paraId="1B59BA81"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de Fomento Agropecuario del Estado de Chiapas (FOFAE).</w:t>
      </w:r>
    </w:p>
    <w:p w14:paraId="5C54B769"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Fideicomiso del Fondo Estatal de Desarrollo Comercial, Agropecuario y Agroindustrial (FEDCAA).</w:t>
      </w:r>
    </w:p>
    <w:p w14:paraId="390D1B1A"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Fideicomiso de Apoyo a las Necesidades de los Cafeticultores del Estado de Chiapas (FANCAFE).</w:t>
      </w:r>
    </w:p>
    <w:p w14:paraId="46D573C2"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Fideicomiso para la Promoción, Difusión y Comercialización de los Atractivos Turísticos del Estado de Chiapas (FIDETUR).</w:t>
      </w:r>
    </w:p>
    <w:p w14:paraId="05C6C5FA"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Fideicomiso Irrevocable de Inversión y Administración para el Programa Especial de Financiamiento a la Vivienda para el Magisterio del Estado de Chiapas (FOVIMCHIS).</w:t>
      </w:r>
    </w:p>
    <w:p w14:paraId="35A5BBE5"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 xml:space="preserve">Fideicomiso de Apoyo de Tecnologías Educativas y de la Información para Maestros de Educación Básica del Estado de Chiapas (FOAPES). </w:t>
      </w:r>
    </w:p>
    <w:p w14:paraId="3226233F"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Fondo para la Modernización y Mantenimiento de la Infraestructura Institucional y el Mejoramiento de la Organización Electoral.</w:t>
      </w:r>
    </w:p>
    <w:p w14:paraId="7C2306AB"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Programa de Mejoramiento del Profesorado (PROMEP).</w:t>
      </w:r>
    </w:p>
    <w:p w14:paraId="66C3C5B4" w14:textId="77777777" w:rsidR="007643EF" w:rsidRPr="007643EF" w:rsidRDefault="007643EF" w:rsidP="007643EF">
      <w:pPr>
        <w:jc w:val="both"/>
        <w:rPr>
          <w:rFonts w:eastAsia="Calibri"/>
          <w:iCs w:val="0"/>
          <w:lang w:val="es-MX" w:eastAsia="en-US"/>
        </w:rPr>
      </w:pPr>
    </w:p>
    <w:p w14:paraId="7F8486B1"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Asimismo, se encuentran las participaciones y aportaciones de capital:</w:t>
      </w:r>
    </w:p>
    <w:p w14:paraId="1A30419E" w14:textId="77777777" w:rsidR="007643EF" w:rsidRPr="007643EF" w:rsidRDefault="007643EF" w:rsidP="007643EF">
      <w:pPr>
        <w:jc w:val="both"/>
        <w:rPr>
          <w:rFonts w:eastAsia="Calibri"/>
          <w:iCs w:val="0"/>
          <w:lang w:val="es-MX" w:eastAsia="en-US"/>
        </w:rPr>
      </w:pPr>
    </w:p>
    <w:p w14:paraId="4852140E"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Acciones y participaciones en el sector público.</w:t>
      </w:r>
    </w:p>
    <w:p w14:paraId="0FD825C5"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Vector, S.A. de C.V.</w:t>
      </w:r>
    </w:p>
    <w:p w14:paraId="722DB162" w14:textId="77777777" w:rsidR="007643EF" w:rsidRPr="007643EF" w:rsidRDefault="007643EF" w:rsidP="007643EF">
      <w:pPr>
        <w:numPr>
          <w:ilvl w:val="0"/>
          <w:numId w:val="3"/>
        </w:numPr>
        <w:spacing w:after="120"/>
        <w:ind w:left="357" w:hanging="357"/>
        <w:jc w:val="both"/>
        <w:rPr>
          <w:iCs w:val="0"/>
          <w:lang w:val="es-MX" w:eastAsia="es-MX"/>
        </w:rPr>
      </w:pPr>
      <w:r w:rsidRPr="007643EF">
        <w:rPr>
          <w:iCs w:val="0"/>
          <w:lang w:val="es-MX" w:eastAsia="es-MX"/>
        </w:rPr>
        <w:t>Protección social en salud.</w:t>
      </w:r>
    </w:p>
    <w:p w14:paraId="5DFAECFE" w14:textId="77777777" w:rsidR="007643EF" w:rsidRPr="007643EF" w:rsidRDefault="007643EF" w:rsidP="007643EF">
      <w:pPr>
        <w:jc w:val="both"/>
        <w:rPr>
          <w:rFonts w:eastAsia="Calibri"/>
          <w:iCs w:val="0"/>
          <w:lang w:val="es-MX" w:eastAsia="en-US"/>
        </w:rPr>
      </w:pPr>
    </w:p>
    <w:p w14:paraId="7E62B7CB" w14:textId="77777777" w:rsidR="007643EF" w:rsidRPr="007643EF" w:rsidRDefault="007643EF" w:rsidP="007643EF">
      <w:pPr>
        <w:jc w:val="center"/>
        <w:rPr>
          <w:rFonts w:eastAsia="Calibri"/>
          <w:iCs w:val="0"/>
          <w:lang w:val="es-MX" w:eastAsia="en-US"/>
        </w:rPr>
      </w:pPr>
      <w:r w:rsidRPr="007643EF">
        <w:rPr>
          <w:rFonts w:ascii="Calibri" w:eastAsia="Calibri" w:hAnsi="Calibri" w:cs="Times New Roman"/>
          <w:iCs w:val="0"/>
          <w:noProof/>
          <w:sz w:val="22"/>
          <w:szCs w:val="22"/>
          <w:lang w:val="es-MX" w:eastAsia="es-MX"/>
        </w:rPr>
        <w:lastRenderedPageBreak/>
        <w:drawing>
          <wp:inline distT="0" distB="0" distL="0" distR="0" wp14:anchorId="1A8FCB71" wp14:editId="197C771C">
            <wp:extent cx="3705225" cy="139192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2C31D9B0" w14:textId="77777777" w:rsidR="007643EF" w:rsidRPr="007643EF" w:rsidRDefault="007643EF" w:rsidP="007643EF">
      <w:pPr>
        <w:jc w:val="both"/>
        <w:rPr>
          <w:rFonts w:eastAsia="Calibri"/>
          <w:iCs w:val="0"/>
          <w:lang w:val="es-MX" w:eastAsia="en-US"/>
        </w:rPr>
      </w:pPr>
    </w:p>
    <w:p w14:paraId="0F7900FE" w14:textId="77777777" w:rsidR="007643EF" w:rsidRPr="007643EF" w:rsidRDefault="007643EF" w:rsidP="007643EF">
      <w:pPr>
        <w:jc w:val="both"/>
        <w:rPr>
          <w:rFonts w:eastAsia="Calibri"/>
          <w:iCs w:val="0"/>
          <w:lang w:val="es-MX" w:eastAsia="en-US"/>
        </w:rPr>
      </w:pPr>
    </w:p>
    <w:p w14:paraId="3027D1C3"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Derechos a recibir efectivo o equivalentes a largo plazo</w:t>
      </w:r>
    </w:p>
    <w:p w14:paraId="02A6F63E" w14:textId="77777777" w:rsidR="007643EF" w:rsidRPr="007643EF" w:rsidRDefault="007643EF" w:rsidP="007643EF">
      <w:pPr>
        <w:autoSpaceDE w:val="0"/>
        <w:autoSpaceDN w:val="0"/>
        <w:adjustRightInd w:val="0"/>
        <w:jc w:val="both"/>
        <w:rPr>
          <w:rFonts w:eastAsia="Calibri"/>
          <w:iCs w:val="0"/>
          <w:lang w:val="es-MX" w:eastAsia="en-US"/>
        </w:rPr>
      </w:pPr>
    </w:p>
    <w:p w14:paraId="5A41582D"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Este rubro del activo asciende a 4 mil 296.4 millones de pesos </w:t>
      </w:r>
      <w:r w:rsidRPr="007643EF">
        <w:rPr>
          <w:rFonts w:eastAsia="Calibri"/>
          <w:iCs w:val="0"/>
          <w:lang w:val="es-MX" w:eastAsia="en-US"/>
        </w:rPr>
        <w:t>al 31 de diciembre de 2023</w:t>
      </w:r>
      <w:r w:rsidRPr="007643EF">
        <w:rPr>
          <w:rFonts w:eastAsia="Arial"/>
          <w:iCs w:val="0"/>
          <w:lang w:val="es-MX" w:eastAsia="en-US"/>
        </w:rPr>
        <w:t xml:space="preserve"> y representa el 6.8 % del total del activo no circulante y se integra por:</w:t>
      </w:r>
    </w:p>
    <w:p w14:paraId="17E0A446" w14:textId="77777777" w:rsidR="007643EF" w:rsidRPr="007643EF" w:rsidRDefault="007643EF" w:rsidP="007643EF">
      <w:pPr>
        <w:jc w:val="both"/>
        <w:rPr>
          <w:rFonts w:eastAsia="Arial"/>
          <w:iCs w:val="0"/>
          <w:lang w:val="es-MX" w:eastAsia="en-US"/>
        </w:rPr>
      </w:pPr>
    </w:p>
    <w:p w14:paraId="200AC775" w14:textId="77777777" w:rsidR="007643EF" w:rsidRPr="007643EF" w:rsidRDefault="007643EF" w:rsidP="007643EF">
      <w:pPr>
        <w:jc w:val="both"/>
        <w:rPr>
          <w:rFonts w:eastAsia="Arial"/>
          <w:iCs w:val="0"/>
          <w:lang w:val="es-MX" w:eastAsia="en-US"/>
        </w:rPr>
      </w:pPr>
      <w:r w:rsidRPr="007643EF">
        <w:rPr>
          <w:rFonts w:eastAsia="Arial"/>
          <w:iCs w:val="0"/>
          <w:lang w:val="es-MX" w:eastAsia="en-US"/>
        </w:rPr>
        <w:t>Los anticipos de ministraciones a municipios, las ministraciones por depositar a la Universidad Autónoma de Chiapas de subsidios federales y estatales, los préstamos a largo plazo concedidos a funcionarios y empleados del Gobierno del Estado pendientes de recuperar, los préstamos con recursos ajenos, los préstamos para programas agropecuarios, así como, por las cuotas y aportaciones patronales pagadas en demasía.</w:t>
      </w:r>
    </w:p>
    <w:p w14:paraId="5892858E" w14:textId="77777777" w:rsidR="007643EF" w:rsidRPr="007643EF" w:rsidRDefault="007643EF" w:rsidP="007643EF">
      <w:pPr>
        <w:jc w:val="both"/>
        <w:rPr>
          <w:rFonts w:eastAsia="Arial"/>
          <w:iCs w:val="0"/>
          <w:lang w:val="es-MX" w:eastAsia="en-US"/>
        </w:rPr>
      </w:pPr>
    </w:p>
    <w:p w14:paraId="081A7F51"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Los descuentos realizados a la participación federal por concepto de adeudos al Instituto de Seguridad y Servicios Sociales de los Trabajadores del Estado (ISSSTE) y del Impuesto Sobre la Renta (ISR); deudores morosos por gastos a comprobar, deudores por responsabilidades, deudores por obra pública (cadenas productivas), deudores por financiamiento, deudores sujetos a resolución judicial por concepto de manejo de valores y bienes inventariables,  pagos en demasía, cheques devueltos, préstamos del fondo auxiliar y cargos bancarios por aclarar. </w:t>
      </w:r>
    </w:p>
    <w:p w14:paraId="7B92FB06" w14:textId="77777777" w:rsidR="007643EF" w:rsidRPr="007643EF" w:rsidRDefault="007643EF" w:rsidP="007643EF">
      <w:pPr>
        <w:jc w:val="both"/>
        <w:rPr>
          <w:rFonts w:eastAsia="Arial"/>
          <w:iCs w:val="0"/>
          <w:lang w:val="es-MX" w:eastAsia="en-US"/>
        </w:rPr>
      </w:pPr>
    </w:p>
    <w:p w14:paraId="50B502A6"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 </w:t>
      </w:r>
    </w:p>
    <w:p w14:paraId="4B3382AE" w14:textId="77777777" w:rsidR="007643EF" w:rsidRPr="007643EF" w:rsidRDefault="007643EF" w:rsidP="007643EF">
      <w:pPr>
        <w:jc w:val="both"/>
        <w:rPr>
          <w:rFonts w:eastAsia="Arial"/>
          <w:iCs w:val="0"/>
          <w:lang w:val="es-MX" w:eastAsia="en-US"/>
        </w:rPr>
      </w:pPr>
    </w:p>
    <w:p w14:paraId="12292807" w14:textId="77777777" w:rsidR="007643EF" w:rsidRPr="007643EF" w:rsidRDefault="007643EF" w:rsidP="007643EF">
      <w:pPr>
        <w:jc w:val="both"/>
        <w:rPr>
          <w:rFonts w:eastAsia="Arial"/>
          <w:iCs w:val="0"/>
          <w:lang w:val="es-MX" w:eastAsia="en-US"/>
        </w:rPr>
      </w:pPr>
      <w:r w:rsidRPr="007643EF">
        <w:rPr>
          <w:rFonts w:eastAsia="Arial"/>
          <w:iCs w:val="0"/>
          <w:lang w:val="es-MX" w:eastAsia="en-US"/>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la emisión de cheques de caja y los traspasos de recursos efectuados por los entes públicos a la Universidad Autónoma de Chiapas, pendientes de regularizar.</w:t>
      </w:r>
    </w:p>
    <w:p w14:paraId="4FF14DB6" w14:textId="77777777" w:rsidR="007643EF" w:rsidRPr="007643EF" w:rsidRDefault="007643EF" w:rsidP="007643EF">
      <w:pPr>
        <w:jc w:val="both"/>
        <w:rPr>
          <w:rFonts w:eastAsia="Arial"/>
          <w:iCs w:val="0"/>
          <w:lang w:val="es-MX" w:eastAsia="en-US"/>
        </w:rPr>
      </w:pPr>
    </w:p>
    <w:p w14:paraId="773F2FA8" w14:textId="77777777" w:rsidR="007643EF" w:rsidRPr="007643EF" w:rsidRDefault="007643EF" w:rsidP="007643EF">
      <w:pPr>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56F22478" wp14:editId="226DEB62">
            <wp:extent cx="3705225" cy="1555750"/>
            <wp:effectExtent l="0" t="0" r="9525"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1555750"/>
                    </a:xfrm>
                    <a:prstGeom prst="rect">
                      <a:avLst/>
                    </a:prstGeom>
                    <a:noFill/>
                    <a:ln>
                      <a:noFill/>
                    </a:ln>
                  </pic:spPr>
                </pic:pic>
              </a:graphicData>
            </a:graphic>
          </wp:inline>
        </w:drawing>
      </w:r>
    </w:p>
    <w:p w14:paraId="4E14397D" w14:textId="77777777" w:rsidR="007643EF" w:rsidRPr="007643EF" w:rsidRDefault="007643EF" w:rsidP="007643EF">
      <w:pPr>
        <w:jc w:val="both"/>
        <w:rPr>
          <w:rFonts w:eastAsia="Calibri"/>
          <w:iCs w:val="0"/>
          <w:lang w:val="es-MX" w:eastAsia="en-US"/>
        </w:rPr>
      </w:pPr>
    </w:p>
    <w:p w14:paraId="78EE5B2E" w14:textId="77777777" w:rsidR="007643EF" w:rsidRPr="007643EF" w:rsidRDefault="007643EF" w:rsidP="007643EF">
      <w:pPr>
        <w:jc w:val="both"/>
        <w:rPr>
          <w:rFonts w:eastAsia="Calibri"/>
          <w:iCs w:val="0"/>
          <w:lang w:val="es-MX" w:eastAsia="en-US"/>
        </w:rPr>
      </w:pPr>
    </w:p>
    <w:p w14:paraId="6B2CEDB1"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Bienes inmuebles, infraestructura y construcciones en proceso</w:t>
      </w:r>
    </w:p>
    <w:p w14:paraId="35A7946A" w14:textId="77777777" w:rsidR="007643EF" w:rsidRPr="007643EF" w:rsidRDefault="007643EF" w:rsidP="007643EF">
      <w:pPr>
        <w:jc w:val="both"/>
        <w:rPr>
          <w:rFonts w:eastAsia="Calibri"/>
          <w:iCs w:val="0"/>
          <w:lang w:val="es-MX" w:eastAsia="en-US"/>
        </w:rPr>
      </w:pPr>
    </w:p>
    <w:p w14:paraId="78F57CBF" w14:textId="77777777" w:rsidR="007643EF" w:rsidRPr="007643EF" w:rsidRDefault="007643EF" w:rsidP="007643EF">
      <w:pPr>
        <w:jc w:val="both"/>
        <w:rPr>
          <w:rFonts w:eastAsia="Calibri"/>
          <w:b/>
          <w:bCs/>
          <w:i/>
          <w:lang w:val="es-MX" w:eastAsia="en-US"/>
        </w:rPr>
      </w:pPr>
      <w:r w:rsidRPr="007643EF">
        <w:rPr>
          <w:rFonts w:eastAsia="Calibri"/>
          <w:iCs w:val="0"/>
          <w:lang w:val="es-MX" w:eastAsia="en-US"/>
        </w:rPr>
        <w:t>Al 31 de diciembre de 2023, este rubro del activo refleja la cifra de 48 mil 237.7 millones de pesos y representa el valor de toda la infraestructura tangible, edificios no habitacionales y terrenos propiedad del Gobierno del Estado, así como, el valor de las obras que se encuentran en proceso de ejecución, además, del valor de las obras terminadas por transferir.</w:t>
      </w:r>
    </w:p>
    <w:p w14:paraId="7CBFAE35" w14:textId="77777777" w:rsidR="007643EF" w:rsidRPr="007643EF" w:rsidRDefault="007643EF" w:rsidP="007643EF">
      <w:pPr>
        <w:autoSpaceDE w:val="0"/>
        <w:autoSpaceDN w:val="0"/>
        <w:adjustRightInd w:val="0"/>
        <w:jc w:val="both"/>
        <w:rPr>
          <w:rFonts w:eastAsia="Calibri"/>
          <w:iCs w:val="0"/>
          <w:lang w:val="es-MX" w:eastAsia="en-US"/>
        </w:rPr>
      </w:pPr>
    </w:p>
    <w:p w14:paraId="608B2D26"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Del total del activo no circulante, este rubro representa el 76.5 %.</w:t>
      </w:r>
    </w:p>
    <w:p w14:paraId="564FFB6C" w14:textId="77777777" w:rsidR="007643EF" w:rsidRPr="007643EF" w:rsidRDefault="007643EF" w:rsidP="007643EF">
      <w:pPr>
        <w:autoSpaceDE w:val="0"/>
        <w:autoSpaceDN w:val="0"/>
        <w:adjustRightInd w:val="0"/>
        <w:jc w:val="both"/>
        <w:rPr>
          <w:rFonts w:eastAsia="Calibri"/>
          <w:iCs w:val="0"/>
          <w:lang w:val="es-MX" w:eastAsia="en-US"/>
        </w:rPr>
      </w:pPr>
    </w:p>
    <w:p w14:paraId="556D384C" w14:textId="77777777" w:rsidR="007643EF" w:rsidRPr="007643EF" w:rsidRDefault="007643EF" w:rsidP="007643EF">
      <w:pPr>
        <w:jc w:val="center"/>
        <w:rPr>
          <w:rFonts w:eastAsia="Calibri"/>
          <w:iCs w:val="0"/>
          <w:lang w:val="es-MX" w:eastAsia="en-US"/>
        </w:rPr>
      </w:pPr>
      <w:r w:rsidRPr="007643EF">
        <w:rPr>
          <w:rFonts w:ascii="Calibri" w:eastAsia="Calibri" w:hAnsi="Calibri" w:cs="Times New Roman"/>
          <w:iCs w:val="0"/>
          <w:noProof/>
          <w:sz w:val="22"/>
          <w:szCs w:val="22"/>
          <w:lang w:val="es-MX" w:eastAsia="es-MX"/>
        </w:rPr>
        <w:lastRenderedPageBreak/>
        <w:drawing>
          <wp:inline distT="0" distB="0" distL="0" distR="0" wp14:anchorId="6DEBD5A2" wp14:editId="0B6F8930">
            <wp:extent cx="3705225" cy="1555750"/>
            <wp:effectExtent l="0" t="0" r="9525"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5225" cy="1555750"/>
                    </a:xfrm>
                    <a:prstGeom prst="rect">
                      <a:avLst/>
                    </a:prstGeom>
                    <a:noFill/>
                    <a:ln>
                      <a:noFill/>
                    </a:ln>
                  </pic:spPr>
                </pic:pic>
              </a:graphicData>
            </a:graphic>
          </wp:inline>
        </w:drawing>
      </w:r>
    </w:p>
    <w:p w14:paraId="5A15A22F" w14:textId="77777777" w:rsidR="007643EF" w:rsidRPr="007643EF" w:rsidRDefault="007643EF" w:rsidP="007643EF">
      <w:pPr>
        <w:widowControl w:val="0"/>
        <w:jc w:val="both"/>
        <w:rPr>
          <w:rFonts w:cs="Times New Roman"/>
          <w:b/>
          <w:i/>
          <w:iCs w:val="0"/>
          <w:snapToGrid w:val="0"/>
          <w:u w:val="single"/>
          <w:lang w:val="es-MX"/>
        </w:rPr>
      </w:pPr>
    </w:p>
    <w:p w14:paraId="0AFBD878"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Bienes muebles</w:t>
      </w:r>
    </w:p>
    <w:p w14:paraId="7AAC1C94" w14:textId="77777777" w:rsidR="007643EF" w:rsidRPr="007643EF" w:rsidRDefault="007643EF" w:rsidP="007643EF">
      <w:pPr>
        <w:autoSpaceDE w:val="0"/>
        <w:autoSpaceDN w:val="0"/>
        <w:adjustRightInd w:val="0"/>
        <w:jc w:val="both"/>
        <w:rPr>
          <w:rFonts w:eastAsia="Calibri"/>
          <w:iCs w:val="0"/>
          <w:lang w:val="es-MX" w:eastAsia="en-US"/>
        </w:rPr>
      </w:pPr>
    </w:p>
    <w:p w14:paraId="37D1415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Este renglón del activo refleja el valor de los bienes muebles que posee el Gobierno del Estado al 31 de diciembre de 2023, el cual asciende a un monto global de  4 mil 819.2 millones de pesos y  representa el 7.6 %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71C39B76"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50EEA81D" wp14:editId="6EB44AC8">
            <wp:extent cx="3705225" cy="139192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782FF24D" w14:textId="77777777" w:rsidR="007643EF" w:rsidRPr="007643EF" w:rsidRDefault="007643EF" w:rsidP="007643EF">
      <w:pPr>
        <w:autoSpaceDE w:val="0"/>
        <w:autoSpaceDN w:val="0"/>
        <w:adjustRightInd w:val="0"/>
        <w:jc w:val="both"/>
        <w:rPr>
          <w:rFonts w:eastAsia="Calibri"/>
          <w:iCs w:val="0"/>
          <w:lang w:val="es-MX" w:eastAsia="en-US"/>
        </w:rPr>
      </w:pPr>
    </w:p>
    <w:p w14:paraId="626F7EAA" w14:textId="77777777" w:rsidR="007643EF" w:rsidRPr="007643EF" w:rsidRDefault="007643EF" w:rsidP="007643EF">
      <w:pPr>
        <w:autoSpaceDE w:val="0"/>
        <w:autoSpaceDN w:val="0"/>
        <w:adjustRightInd w:val="0"/>
        <w:jc w:val="both"/>
        <w:rPr>
          <w:rFonts w:eastAsia="Calibri"/>
          <w:iCs w:val="0"/>
          <w:lang w:val="es-MX" w:eastAsia="en-US"/>
        </w:rPr>
      </w:pPr>
    </w:p>
    <w:p w14:paraId="6A5B21FD"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Activos intangibles</w:t>
      </w:r>
    </w:p>
    <w:p w14:paraId="4533C5C5" w14:textId="77777777" w:rsidR="007643EF" w:rsidRPr="007643EF" w:rsidRDefault="007643EF" w:rsidP="007643EF">
      <w:pPr>
        <w:autoSpaceDE w:val="0"/>
        <w:autoSpaceDN w:val="0"/>
        <w:adjustRightInd w:val="0"/>
        <w:jc w:val="both"/>
        <w:rPr>
          <w:rFonts w:eastAsia="Calibri"/>
          <w:iCs w:val="0"/>
          <w:lang w:val="es-MX" w:eastAsia="en-US"/>
        </w:rPr>
      </w:pPr>
    </w:p>
    <w:p w14:paraId="6E36EEC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Al 31 de diciembre de 2023, este rubro asciende a 464.8 millones de pesos y representa el valor de todos los bienes intangibles que posee el Gobierno del Estado, como son: software, patentes, marcas y derechos, concesiones y franquicias, licencias, y otros activos intangibles, los cuales son necesarios para la operatividad y funcionamiento de las áreas administrativas de los entes públicos que la conforma.</w:t>
      </w:r>
    </w:p>
    <w:p w14:paraId="4C725A4C" w14:textId="77777777" w:rsidR="007643EF" w:rsidRPr="007643EF" w:rsidRDefault="007643EF" w:rsidP="007643EF">
      <w:pPr>
        <w:autoSpaceDE w:val="0"/>
        <w:autoSpaceDN w:val="0"/>
        <w:adjustRightInd w:val="0"/>
        <w:jc w:val="both"/>
        <w:rPr>
          <w:rFonts w:eastAsia="Calibri"/>
          <w:iCs w:val="0"/>
          <w:lang w:val="es-MX" w:eastAsia="en-US"/>
        </w:rPr>
      </w:pPr>
    </w:p>
    <w:p w14:paraId="59FEFCEF"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Este rubro representa el 0.7 % del total del activo no circulante.</w:t>
      </w:r>
    </w:p>
    <w:p w14:paraId="263A492C" w14:textId="77777777" w:rsidR="007643EF" w:rsidRPr="007643EF" w:rsidRDefault="007643EF" w:rsidP="007643EF">
      <w:pPr>
        <w:autoSpaceDE w:val="0"/>
        <w:autoSpaceDN w:val="0"/>
        <w:adjustRightInd w:val="0"/>
        <w:jc w:val="both"/>
        <w:rPr>
          <w:rFonts w:eastAsia="Calibri"/>
          <w:iCs w:val="0"/>
          <w:lang w:val="es-MX" w:eastAsia="en-US"/>
        </w:rPr>
      </w:pPr>
    </w:p>
    <w:p w14:paraId="2515E97D"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15A5CA3A" wp14:editId="144BD862">
            <wp:extent cx="3705225" cy="139192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54AB2558" w14:textId="77777777" w:rsidR="007643EF" w:rsidRPr="007643EF" w:rsidRDefault="007643EF" w:rsidP="007643EF">
      <w:pPr>
        <w:autoSpaceDE w:val="0"/>
        <w:autoSpaceDN w:val="0"/>
        <w:adjustRightInd w:val="0"/>
        <w:jc w:val="both"/>
        <w:rPr>
          <w:rFonts w:eastAsia="Calibri"/>
          <w:iCs w:val="0"/>
          <w:lang w:val="es-MX" w:eastAsia="en-US"/>
        </w:rPr>
      </w:pPr>
    </w:p>
    <w:p w14:paraId="44C47F01" w14:textId="77777777" w:rsidR="007643EF" w:rsidRPr="007643EF" w:rsidRDefault="007643EF" w:rsidP="007643EF">
      <w:pPr>
        <w:autoSpaceDE w:val="0"/>
        <w:autoSpaceDN w:val="0"/>
        <w:adjustRightInd w:val="0"/>
        <w:jc w:val="both"/>
        <w:rPr>
          <w:rFonts w:eastAsia="Calibri"/>
          <w:iCs w:val="0"/>
          <w:lang w:val="es-MX" w:eastAsia="en-US"/>
        </w:rPr>
      </w:pPr>
    </w:p>
    <w:p w14:paraId="414921A1"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Depreciación, deterioro y amortización acumulada de bienes</w:t>
      </w:r>
    </w:p>
    <w:p w14:paraId="2D9BF648" w14:textId="77777777" w:rsidR="007643EF" w:rsidRPr="007643EF" w:rsidRDefault="007643EF" w:rsidP="007643EF">
      <w:pPr>
        <w:jc w:val="both"/>
        <w:outlineLvl w:val="0"/>
        <w:rPr>
          <w:rFonts w:eastAsia="Calibri"/>
          <w:b/>
          <w:bCs/>
          <w:iCs w:val="0"/>
          <w:lang w:val="es-MX" w:eastAsia="en-US"/>
        </w:rPr>
      </w:pPr>
    </w:p>
    <w:p w14:paraId="5343E4FF" w14:textId="77777777" w:rsidR="007643EF" w:rsidRPr="007643EF" w:rsidRDefault="007643EF" w:rsidP="007643EF">
      <w:pPr>
        <w:jc w:val="both"/>
        <w:outlineLvl w:val="0"/>
        <w:rPr>
          <w:rFonts w:eastAsia="Calibri"/>
          <w:bCs/>
          <w:iCs w:val="0"/>
          <w:lang w:val="es-MX" w:eastAsia="en-US"/>
        </w:rPr>
      </w:pPr>
      <w:r w:rsidRPr="007643EF">
        <w:rPr>
          <w:rFonts w:eastAsia="Calibri"/>
          <w:bCs/>
          <w:iCs w:val="0"/>
          <w:lang w:val="es-MX" w:eastAsia="en-US"/>
        </w:rPr>
        <w:t xml:space="preserve">El saldo negativo de este rubro del activo por 170.6 millones de pesos, representa el valor de la depreciación, deterioro y amortización efectuada a los bienes tangibles e intangibles, que forman parte de los activos de los entes públicos del Gobierno del Estado, utilizando el procedimiento establecido por el Consejo Nacional de Armonización Contable (CONAC), aplicados por los entes públicos en el ejercicio 2023. </w:t>
      </w:r>
    </w:p>
    <w:p w14:paraId="2F824D67" w14:textId="77777777" w:rsidR="007643EF" w:rsidRPr="007643EF" w:rsidRDefault="007643EF" w:rsidP="007643EF">
      <w:pPr>
        <w:jc w:val="both"/>
        <w:outlineLvl w:val="0"/>
        <w:rPr>
          <w:rFonts w:eastAsia="Calibri"/>
          <w:bCs/>
          <w:iCs w:val="0"/>
          <w:lang w:val="es-MX" w:eastAsia="en-US"/>
        </w:rPr>
      </w:pPr>
      <w:r w:rsidRPr="007643EF">
        <w:rPr>
          <w:rFonts w:eastAsia="Calibri"/>
          <w:bCs/>
          <w:iCs w:val="0"/>
          <w:lang w:val="es-MX" w:eastAsia="en-US"/>
        </w:rPr>
        <w:lastRenderedPageBreak/>
        <w:t>A la fecha que se informa este rubro representa una disminución del 0.3 % respecto al total del activo no circulante.</w:t>
      </w:r>
    </w:p>
    <w:p w14:paraId="34E03F43" w14:textId="77777777" w:rsidR="007643EF" w:rsidRPr="007643EF" w:rsidRDefault="007643EF" w:rsidP="007643EF">
      <w:pPr>
        <w:jc w:val="both"/>
        <w:outlineLvl w:val="0"/>
        <w:rPr>
          <w:rFonts w:eastAsia="Calibri"/>
          <w:bCs/>
          <w:iCs w:val="0"/>
          <w:lang w:val="es-MX" w:eastAsia="en-US"/>
        </w:rPr>
      </w:pPr>
    </w:p>
    <w:p w14:paraId="19E7B4D3" w14:textId="77777777" w:rsidR="007643EF" w:rsidRPr="007643EF" w:rsidRDefault="007643EF" w:rsidP="007643EF">
      <w:pPr>
        <w:autoSpaceDE w:val="0"/>
        <w:autoSpaceDN w:val="0"/>
        <w:adjustRightInd w:val="0"/>
        <w:jc w:val="center"/>
        <w:outlineLvl w:val="0"/>
        <w:rPr>
          <w:rFonts w:eastAsia="Calibri"/>
          <w:b/>
          <w:bCs/>
          <w:i/>
          <w:lang w:val="es-MX" w:eastAsia="en-US"/>
        </w:rPr>
      </w:pPr>
      <w:r w:rsidRPr="007643EF">
        <w:rPr>
          <w:rFonts w:ascii="Calibri" w:eastAsia="Calibri" w:hAnsi="Calibri" w:cs="Times New Roman"/>
          <w:iCs w:val="0"/>
          <w:noProof/>
          <w:sz w:val="22"/>
          <w:szCs w:val="22"/>
          <w:lang w:val="es-MX" w:eastAsia="es-MX"/>
        </w:rPr>
        <w:drawing>
          <wp:inline distT="0" distB="0" distL="0" distR="0" wp14:anchorId="3CB8DBC1" wp14:editId="1AD33EC7">
            <wp:extent cx="3705225" cy="1555750"/>
            <wp:effectExtent l="0" t="0" r="9525"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05225" cy="1555750"/>
                    </a:xfrm>
                    <a:prstGeom prst="rect">
                      <a:avLst/>
                    </a:prstGeom>
                    <a:noFill/>
                    <a:ln>
                      <a:noFill/>
                    </a:ln>
                  </pic:spPr>
                </pic:pic>
              </a:graphicData>
            </a:graphic>
          </wp:inline>
        </w:drawing>
      </w:r>
    </w:p>
    <w:p w14:paraId="6910C111" w14:textId="77777777" w:rsidR="007643EF" w:rsidRPr="007643EF" w:rsidRDefault="007643EF" w:rsidP="007643EF">
      <w:pPr>
        <w:autoSpaceDE w:val="0"/>
        <w:autoSpaceDN w:val="0"/>
        <w:adjustRightInd w:val="0"/>
        <w:jc w:val="both"/>
        <w:outlineLvl w:val="0"/>
        <w:rPr>
          <w:rFonts w:eastAsia="Calibri"/>
          <w:b/>
          <w:bCs/>
          <w:i/>
          <w:lang w:val="es-MX" w:eastAsia="en-US"/>
        </w:rPr>
      </w:pPr>
    </w:p>
    <w:p w14:paraId="42CB8EC7" w14:textId="77777777" w:rsidR="007643EF" w:rsidRPr="007643EF" w:rsidRDefault="007643EF" w:rsidP="007643EF">
      <w:pPr>
        <w:autoSpaceDE w:val="0"/>
        <w:autoSpaceDN w:val="0"/>
        <w:adjustRightInd w:val="0"/>
        <w:jc w:val="both"/>
        <w:outlineLvl w:val="0"/>
        <w:rPr>
          <w:rFonts w:eastAsia="Calibri"/>
          <w:b/>
          <w:bCs/>
          <w:i/>
          <w:lang w:val="es-MX" w:eastAsia="en-US"/>
        </w:rPr>
      </w:pPr>
    </w:p>
    <w:p w14:paraId="16314DD3"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Activos diferidos</w:t>
      </w:r>
    </w:p>
    <w:p w14:paraId="7C834FD8" w14:textId="77777777" w:rsidR="007643EF" w:rsidRPr="007643EF" w:rsidRDefault="007643EF" w:rsidP="007643EF">
      <w:pPr>
        <w:jc w:val="both"/>
        <w:outlineLvl w:val="0"/>
        <w:rPr>
          <w:rFonts w:eastAsia="Calibri"/>
          <w:b/>
          <w:bCs/>
          <w:iCs w:val="0"/>
          <w:lang w:val="es-MX" w:eastAsia="en-US"/>
        </w:rPr>
      </w:pPr>
    </w:p>
    <w:p w14:paraId="549B1A83"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El saldo de este rubro asciende a 4 mil 319.9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7643EF">
        <w:rPr>
          <w:rFonts w:eastAsia="Calibri"/>
          <w:iCs w:val="0"/>
          <w:lang w:val="es-MX" w:eastAsia="en-US"/>
        </w:rPr>
        <w:t>al 31 de diciembre de 2023</w:t>
      </w:r>
      <w:r w:rsidRPr="007643EF">
        <w:rPr>
          <w:rFonts w:eastAsia="Arial"/>
          <w:iCs w:val="0"/>
          <w:lang w:val="es-MX" w:eastAsia="en-US"/>
        </w:rPr>
        <w:t>, de los cuales 2 mil 747.4 millones de pesos corresponde a ejercicios anteriores y 7.0 millones de pesos del periodo que se informa.</w:t>
      </w:r>
    </w:p>
    <w:p w14:paraId="5D54F5F8" w14:textId="77777777" w:rsidR="007643EF" w:rsidRPr="007643EF" w:rsidRDefault="007643EF" w:rsidP="007643EF">
      <w:pPr>
        <w:jc w:val="both"/>
        <w:rPr>
          <w:rFonts w:eastAsia="Arial"/>
          <w:iCs w:val="0"/>
          <w:lang w:val="es-MX" w:eastAsia="en-US"/>
        </w:rPr>
      </w:pPr>
    </w:p>
    <w:p w14:paraId="1F6D17E4" w14:textId="77777777" w:rsidR="007643EF" w:rsidRPr="007643EF" w:rsidRDefault="007643EF" w:rsidP="007643EF">
      <w:pPr>
        <w:jc w:val="both"/>
        <w:rPr>
          <w:rFonts w:eastAsia="Arial"/>
          <w:iCs w:val="0"/>
          <w:lang w:val="es-MX" w:eastAsia="en-US"/>
        </w:rPr>
      </w:pPr>
      <w:r w:rsidRPr="007643EF">
        <w:rPr>
          <w:rFonts w:eastAsia="Arial"/>
          <w:iCs w:val="0"/>
          <w:lang w:val="es-MX" w:eastAsia="en-US"/>
        </w:rPr>
        <w:t>También, dentro de este rubro se incluye los anticipos otorgados a proveedores por adquisición de bienes y prestación de servicios, y por los anticipos a contratistas por obras públicas a largo plazo, por 1 mil 394.3 millones de pesos.</w:t>
      </w:r>
    </w:p>
    <w:p w14:paraId="373A55C7" w14:textId="77777777" w:rsidR="007643EF" w:rsidRPr="007643EF" w:rsidRDefault="007643EF" w:rsidP="007643EF">
      <w:pPr>
        <w:jc w:val="both"/>
        <w:rPr>
          <w:rFonts w:eastAsia="Calibri"/>
          <w:iCs w:val="0"/>
          <w:lang w:val="es-MX" w:eastAsia="en-US"/>
        </w:rPr>
      </w:pPr>
    </w:p>
    <w:p w14:paraId="53F985DD"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 la fecha que se informa este rubro representa el 6.9 % respecto al total del activo no circulante.</w:t>
      </w:r>
    </w:p>
    <w:p w14:paraId="26914F92" w14:textId="77777777" w:rsidR="007643EF" w:rsidRPr="007643EF" w:rsidRDefault="007643EF" w:rsidP="007643EF">
      <w:pPr>
        <w:autoSpaceDE w:val="0"/>
        <w:autoSpaceDN w:val="0"/>
        <w:adjustRightInd w:val="0"/>
        <w:jc w:val="both"/>
        <w:rPr>
          <w:rFonts w:eastAsia="Calibri"/>
          <w:iCs w:val="0"/>
          <w:lang w:val="es-MX" w:eastAsia="en-US"/>
        </w:rPr>
      </w:pPr>
    </w:p>
    <w:p w14:paraId="2FA6572D"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351C0C98" wp14:editId="101BF4D2">
            <wp:extent cx="3705225" cy="139192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1B6B2999" w14:textId="77777777" w:rsidR="007643EF" w:rsidRPr="007643EF" w:rsidRDefault="007643EF" w:rsidP="007643EF">
      <w:pPr>
        <w:jc w:val="both"/>
        <w:rPr>
          <w:rFonts w:eastAsia="Calibri"/>
          <w:iCs w:val="0"/>
          <w:lang w:val="es-MX" w:eastAsia="en-US"/>
        </w:rPr>
      </w:pPr>
    </w:p>
    <w:p w14:paraId="79279AA9" w14:textId="77777777" w:rsidR="007643EF" w:rsidRPr="007643EF" w:rsidRDefault="007643EF" w:rsidP="007643EF">
      <w:pPr>
        <w:jc w:val="both"/>
        <w:rPr>
          <w:rFonts w:eastAsia="Calibri"/>
          <w:iCs w:val="0"/>
          <w:lang w:val="es-MX" w:eastAsia="en-US"/>
        </w:rPr>
      </w:pPr>
    </w:p>
    <w:p w14:paraId="7F653B8E"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Otros activos no circulantes</w:t>
      </w:r>
    </w:p>
    <w:p w14:paraId="69AAA1A8" w14:textId="77777777" w:rsidR="007643EF" w:rsidRPr="007643EF" w:rsidRDefault="007643EF" w:rsidP="007643EF">
      <w:pPr>
        <w:autoSpaceDE w:val="0"/>
        <w:autoSpaceDN w:val="0"/>
        <w:adjustRightInd w:val="0"/>
        <w:jc w:val="both"/>
        <w:rPr>
          <w:rFonts w:eastAsia="Calibri"/>
          <w:iCs w:val="0"/>
          <w:lang w:val="es-MX" w:eastAsia="en-US"/>
        </w:rPr>
      </w:pPr>
    </w:p>
    <w:p w14:paraId="52089999"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El rubro de otros activos no circulantes, refleja el valor de los bienes muebles e inmuebles, propiedad del Gobierno del Estado, los cuales se encuentran bajo contrato de comodato. Estos bienes se otorgan entre los entes públicos. </w:t>
      </w:r>
    </w:p>
    <w:p w14:paraId="2EF96E2E" w14:textId="77777777" w:rsidR="007643EF" w:rsidRPr="007643EF" w:rsidRDefault="007643EF" w:rsidP="007643EF">
      <w:pPr>
        <w:autoSpaceDE w:val="0"/>
        <w:autoSpaceDN w:val="0"/>
        <w:adjustRightInd w:val="0"/>
        <w:jc w:val="both"/>
        <w:rPr>
          <w:rFonts w:eastAsia="Calibri"/>
          <w:iCs w:val="0"/>
          <w:lang w:val="es-MX" w:eastAsia="en-US"/>
        </w:rPr>
      </w:pPr>
    </w:p>
    <w:p w14:paraId="3204AE42"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Al 31 de diciembre de 2023, el saldo de este rubro asciende a 89.9 millones de pesos y representa el 0.1 % respecto al total del activo no circulante.</w:t>
      </w:r>
    </w:p>
    <w:p w14:paraId="789DE1C1" w14:textId="77777777" w:rsidR="007643EF" w:rsidRPr="007643EF" w:rsidRDefault="007643EF" w:rsidP="007643EF">
      <w:pPr>
        <w:autoSpaceDE w:val="0"/>
        <w:autoSpaceDN w:val="0"/>
        <w:adjustRightInd w:val="0"/>
        <w:jc w:val="both"/>
        <w:rPr>
          <w:rFonts w:eastAsia="Calibri"/>
          <w:iCs w:val="0"/>
          <w:lang w:val="es-MX" w:eastAsia="en-US"/>
        </w:rPr>
      </w:pPr>
    </w:p>
    <w:p w14:paraId="5BEAA9C4" w14:textId="77777777" w:rsidR="007643EF" w:rsidRPr="007643EF" w:rsidRDefault="007643EF" w:rsidP="007643EF">
      <w:pPr>
        <w:autoSpaceDE w:val="0"/>
        <w:autoSpaceDN w:val="0"/>
        <w:adjustRightInd w:val="0"/>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1B8BC859" wp14:editId="5C91D0AD">
            <wp:extent cx="3705225" cy="139192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05225" cy="1391920"/>
                    </a:xfrm>
                    <a:prstGeom prst="rect">
                      <a:avLst/>
                    </a:prstGeom>
                    <a:noFill/>
                    <a:ln>
                      <a:noFill/>
                    </a:ln>
                  </pic:spPr>
                </pic:pic>
              </a:graphicData>
            </a:graphic>
          </wp:inline>
        </w:drawing>
      </w:r>
    </w:p>
    <w:p w14:paraId="547F9965" w14:textId="77777777" w:rsidR="007643EF" w:rsidRPr="007643EF" w:rsidRDefault="007643EF" w:rsidP="007643EF">
      <w:pPr>
        <w:autoSpaceDE w:val="0"/>
        <w:autoSpaceDN w:val="0"/>
        <w:adjustRightInd w:val="0"/>
        <w:jc w:val="center"/>
        <w:rPr>
          <w:rFonts w:eastAsia="Calibri"/>
          <w:iCs w:val="0"/>
          <w:lang w:val="es-MX" w:eastAsia="en-US"/>
        </w:rPr>
      </w:pPr>
    </w:p>
    <w:p w14:paraId="3E2CA5B0" w14:textId="77777777" w:rsidR="007643EF" w:rsidRPr="007643EF" w:rsidRDefault="007643EF" w:rsidP="007643EF">
      <w:pPr>
        <w:autoSpaceDE w:val="0"/>
        <w:autoSpaceDN w:val="0"/>
        <w:adjustRightInd w:val="0"/>
        <w:jc w:val="center"/>
        <w:rPr>
          <w:rFonts w:eastAsia="Calibri"/>
          <w:iCs w:val="0"/>
          <w:lang w:val="es-MX" w:eastAsia="en-US"/>
        </w:rPr>
      </w:pPr>
    </w:p>
    <w:p w14:paraId="51DD1D4A"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Pasivo</w:t>
      </w:r>
    </w:p>
    <w:p w14:paraId="2AB97D3F" w14:textId="77777777" w:rsidR="007643EF" w:rsidRPr="007643EF" w:rsidRDefault="007643EF" w:rsidP="007643EF">
      <w:pPr>
        <w:autoSpaceDE w:val="0"/>
        <w:autoSpaceDN w:val="0"/>
        <w:adjustRightInd w:val="0"/>
        <w:jc w:val="both"/>
        <w:rPr>
          <w:rFonts w:eastAsia="Calibri"/>
          <w:b/>
          <w:bCs/>
          <w:iCs w:val="0"/>
          <w:lang w:val="es-MX" w:eastAsia="en-US"/>
        </w:rPr>
      </w:pPr>
    </w:p>
    <w:p w14:paraId="290699CD"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Es el conjunto de cuentas que permite el registro de las obligaciones contraídas por el Gobierno Estatal, para el desarrollo de sus funciones y la prestación de los servicios públicos. Al 31 de diciembre de 2023, los estados financieros reflejan principalmente pasivo circulante o corto plazo, es decir, aquellas obligaciones en que la exigibilidad de pago es menor a un año, así también, pasivo no circulante a largo plazo que representa las obligaciones con vencimiento posterior a un año.</w:t>
      </w:r>
    </w:p>
    <w:p w14:paraId="7D4724FC" w14:textId="77777777" w:rsidR="007643EF" w:rsidRPr="007643EF" w:rsidRDefault="007643EF" w:rsidP="007643EF">
      <w:pPr>
        <w:jc w:val="both"/>
        <w:rPr>
          <w:rFonts w:eastAsia="Calibri"/>
          <w:b/>
          <w:bCs/>
          <w:iCs w:val="0"/>
          <w:lang w:val="es-MX" w:eastAsia="en-US"/>
        </w:rPr>
      </w:pPr>
    </w:p>
    <w:p w14:paraId="44E1A827"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Circulante</w:t>
      </w:r>
    </w:p>
    <w:p w14:paraId="1FFCA9C0" w14:textId="77777777" w:rsidR="007643EF" w:rsidRPr="007643EF" w:rsidRDefault="007643EF" w:rsidP="007643EF">
      <w:pPr>
        <w:autoSpaceDE w:val="0"/>
        <w:autoSpaceDN w:val="0"/>
        <w:adjustRightInd w:val="0"/>
        <w:jc w:val="both"/>
        <w:rPr>
          <w:rFonts w:eastAsia="Calibri"/>
          <w:b/>
          <w:bCs/>
          <w:iCs w:val="0"/>
          <w:lang w:val="es-MX" w:eastAsia="en-US"/>
        </w:rPr>
      </w:pPr>
    </w:p>
    <w:p w14:paraId="3B08EC76" w14:textId="61F10EEE" w:rsidR="007643EF" w:rsidRPr="007643EF" w:rsidRDefault="007643EF" w:rsidP="007643EF">
      <w:pPr>
        <w:autoSpaceDE w:val="0"/>
        <w:autoSpaceDN w:val="0"/>
        <w:adjustRightInd w:val="0"/>
        <w:jc w:val="center"/>
        <w:rPr>
          <w:rFonts w:eastAsia="Calibri"/>
          <w:b/>
          <w:bCs/>
          <w:iCs w:val="0"/>
          <w:lang w:val="es-MX" w:eastAsia="en-US"/>
        </w:rPr>
      </w:pPr>
      <w:r>
        <w:rPr>
          <w:rFonts w:eastAsia="Calibri"/>
          <w:b/>
          <w:bCs/>
          <w:iCs w:val="0"/>
          <w:noProof/>
          <w:lang w:val="es-MX" w:eastAsia="en-US"/>
        </w:rPr>
        <w:drawing>
          <wp:inline distT="0" distB="0" distL="0" distR="0" wp14:anchorId="22C8B505" wp14:editId="0F714109">
            <wp:extent cx="2800350" cy="2944891"/>
            <wp:effectExtent l="0" t="0" r="0" b="825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8257" cy="2953206"/>
                    </a:xfrm>
                    <a:prstGeom prst="rect">
                      <a:avLst/>
                    </a:prstGeom>
                    <a:noFill/>
                  </pic:spPr>
                </pic:pic>
              </a:graphicData>
            </a:graphic>
          </wp:inline>
        </w:drawing>
      </w:r>
    </w:p>
    <w:p w14:paraId="6064502B" w14:textId="77777777" w:rsidR="007643EF" w:rsidRPr="007643EF" w:rsidRDefault="007643EF" w:rsidP="007643EF">
      <w:pPr>
        <w:autoSpaceDE w:val="0"/>
        <w:autoSpaceDN w:val="0"/>
        <w:adjustRightInd w:val="0"/>
        <w:jc w:val="both"/>
        <w:rPr>
          <w:rFonts w:eastAsia="Calibri"/>
          <w:b/>
          <w:bCs/>
          <w:iCs w:val="0"/>
          <w:lang w:val="es-MX" w:eastAsia="en-US"/>
        </w:rPr>
      </w:pPr>
    </w:p>
    <w:p w14:paraId="036471A5" w14:textId="77777777" w:rsidR="007643EF" w:rsidRPr="007643EF" w:rsidRDefault="007643EF" w:rsidP="007643EF">
      <w:pPr>
        <w:autoSpaceDE w:val="0"/>
        <w:autoSpaceDN w:val="0"/>
        <w:adjustRightInd w:val="0"/>
        <w:jc w:val="both"/>
        <w:rPr>
          <w:rFonts w:eastAsia="Calibri"/>
          <w:b/>
          <w:bCs/>
          <w:iCs w:val="0"/>
          <w:lang w:val="es-MX" w:eastAsia="en-US"/>
        </w:rPr>
      </w:pPr>
    </w:p>
    <w:p w14:paraId="3F686942"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Cuentas por pagar a corto plazo</w:t>
      </w:r>
    </w:p>
    <w:p w14:paraId="239AEA29" w14:textId="77777777" w:rsidR="007643EF" w:rsidRPr="007643EF" w:rsidRDefault="007643EF" w:rsidP="007643EF">
      <w:pPr>
        <w:jc w:val="both"/>
        <w:outlineLvl w:val="0"/>
        <w:rPr>
          <w:rFonts w:eastAsia="Calibri"/>
          <w:bCs/>
          <w:lang w:val="es-MX" w:eastAsia="en-US"/>
        </w:rPr>
      </w:pPr>
    </w:p>
    <w:p w14:paraId="0915F0ED"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Este rubro del pasivo, refleja el registro de prestaciones salariales del personal de burocracia y magisterio del Gobierno del Estado como son: sueldos, tiempo extra, liquidaciones, honorarios, prima quinquenal, vacacional y dominical, bono de productividad, despensa, incentivos y estímulos, previsión social múltiple y aguinaldo devengado no pagado a la fecha que se informa, las aportaciones patronales al IMSS, ISSSTE, FOVISSSTE, SAR, ISSTECH, INFONAVIT, FPSSTSP y 2 % 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29C87942" w14:textId="77777777" w:rsidR="007643EF" w:rsidRPr="007643EF" w:rsidRDefault="007643EF" w:rsidP="007643EF">
      <w:pPr>
        <w:jc w:val="both"/>
        <w:rPr>
          <w:rFonts w:eastAsia="Calibri"/>
          <w:iCs w:val="0"/>
          <w:lang w:val="es-MX" w:eastAsia="en-US"/>
        </w:rPr>
      </w:pPr>
    </w:p>
    <w:p w14:paraId="0AE0A58F"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También, forma parte las ministraciones por depositar a los municipios por concepto de participaciones, las aportaciones a fideicomisos públicos, los subsidios a la producción e inversión y otros subsidios para entes públicos, así como, las transferencias por depositar de ayudas sociales para: personas, instituciones de enseñanza y becas para programas de capacitación.</w:t>
      </w:r>
    </w:p>
    <w:p w14:paraId="673C047C" w14:textId="77777777" w:rsidR="007643EF" w:rsidRPr="007643EF" w:rsidRDefault="007643EF" w:rsidP="007643EF">
      <w:pPr>
        <w:jc w:val="both"/>
        <w:outlineLvl w:val="0"/>
        <w:rPr>
          <w:rFonts w:eastAsia="Calibri"/>
          <w:iCs w:val="0"/>
          <w:lang w:val="es-MX" w:eastAsia="en-US"/>
        </w:rPr>
      </w:pPr>
    </w:p>
    <w:p w14:paraId="04850954"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Se incluyen en este rubro, el registro de las retenciones por servicios personales: ISSS, 2 % del Impuesto Sobre Nóminas, cuota FPSSTSP, cuota IMSS, crédito INFONAVIT, crédito FONACOT, cuota ISSSTE, cuota ISSTECH, cuota FOVISSSTE, cuota SAR, recuperación de préstamos personales, préstamos con instituciones financieras, aportaciones al seguro institucional, aportaciones al fondo de ahorro, cuota sindical, estímulos, disciplinarios, pensión alimenticia; además, de las retenciones y contribuciones a favor de terceros, 2 % del Impuesto Sobre Nóminas de prestadores de servicios, Impuesto Sobre la Renta e Impuesto al Valor Agregado por pagar, así como, el ISR por honorarios y/o arrendamiento de inmuebles.</w:t>
      </w:r>
    </w:p>
    <w:p w14:paraId="7EC38DCA" w14:textId="77777777" w:rsidR="007643EF" w:rsidRPr="007643EF" w:rsidRDefault="007643EF" w:rsidP="007643EF">
      <w:pPr>
        <w:autoSpaceDE w:val="0"/>
        <w:autoSpaceDN w:val="0"/>
        <w:adjustRightInd w:val="0"/>
        <w:jc w:val="both"/>
        <w:rPr>
          <w:rFonts w:eastAsia="Calibri"/>
          <w:iCs w:val="0"/>
          <w:lang w:val="es-MX" w:eastAsia="en-US"/>
        </w:rPr>
      </w:pPr>
    </w:p>
    <w:p w14:paraId="2F237A04"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Asimismo, incluye las retenciones efectuadas a los contratistas por obra pública, por los siguientes conceptos:</w:t>
      </w:r>
    </w:p>
    <w:p w14:paraId="7F0CBA33" w14:textId="77777777" w:rsidR="007643EF" w:rsidRPr="007643EF" w:rsidRDefault="007643EF" w:rsidP="007643EF">
      <w:pPr>
        <w:jc w:val="both"/>
        <w:outlineLvl w:val="0"/>
        <w:rPr>
          <w:rFonts w:eastAsia="Calibri"/>
          <w:iCs w:val="0"/>
          <w:lang w:val="es-MX" w:eastAsia="en-US"/>
        </w:rPr>
      </w:pPr>
    </w:p>
    <w:p w14:paraId="2650330F"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1 % de Aportación al Estado para Obras de Beneficio Social,</w:t>
      </w:r>
    </w:p>
    <w:p w14:paraId="6DC39C17"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lastRenderedPageBreak/>
        <w:t>3 al millar para el Instituto de Capacitación de la Industria de la Construcción,</w:t>
      </w:r>
    </w:p>
    <w:p w14:paraId="04480FCD"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5 al millar de Inspección y Vigilancia, y</w:t>
      </w:r>
    </w:p>
    <w:p w14:paraId="5B92DF3F"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2 y 4 al millar a la Cámara Mexicana de la Industria de la Construcción.</w:t>
      </w:r>
    </w:p>
    <w:p w14:paraId="2C8B616F" w14:textId="77777777" w:rsidR="007643EF" w:rsidRPr="007643EF" w:rsidRDefault="007643EF" w:rsidP="007643EF">
      <w:pPr>
        <w:autoSpaceDE w:val="0"/>
        <w:autoSpaceDN w:val="0"/>
        <w:adjustRightInd w:val="0"/>
        <w:jc w:val="both"/>
        <w:rPr>
          <w:rFonts w:eastAsia="Calibri"/>
          <w:iCs w:val="0"/>
          <w:lang w:val="es-MX" w:eastAsia="en-US"/>
        </w:rPr>
      </w:pPr>
    </w:p>
    <w:p w14:paraId="7A25A83A"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Por otra parte, dentro este rubro se encuentra los anticipos a cuenta de participaciones federales pendientes de </w:t>
      </w:r>
      <w:proofErr w:type="gramStart"/>
      <w:r w:rsidRPr="007643EF">
        <w:rPr>
          <w:rFonts w:eastAsia="Calibri"/>
          <w:iCs w:val="0"/>
          <w:lang w:val="es-MX" w:eastAsia="en-US"/>
        </w:rPr>
        <w:t>compensar,  así</w:t>
      </w:r>
      <w:proofErr w:type="gramEnd"/>
      <w:r w:rsidRPr="007643EF">
        <w:rPr>
          <w:rFonts w:eastAsia="Calibri"/>
          <w:iCs w:val="0"/>
          <w:lang w:val="es-MX" w:eastAsia="en-US"/>
        </w:rPr>
        <w:t xml:space="preserve"> como, los recursos comprometidos por adeudos de gastos de administración, servicios básicos y de operación, reintegros de recursos, depósitos en demasía de centros recaudatorios y de contribuyentes, viáticos, aportaciones al seguro de vida, devolución de recursos de programas sociales, recursos al ISSTECH pendientes de depositar y rendimientos bancarios.</w:t>
      </w:r>
    </w:p>
    <w:p w14:paraId="11B3AF29" w14:textId="77777777" w:rsidR="007643EF" w:rsidRPr="007643EF" w:rsidRDefault="007643EF" w:rsidP="007643EF">
      <w:pPr>
        <w:autoSpaceDE w:val="0"/>
        <w:autoSpaceDN w:val="0"/>
        <w:adjustRightInd w:val="0"/>
        <w:jc w:val="both"/>
        <w:rPr>
          <w:rFonts w:eastAsia="Calibri"/>
          <w:iCs w:val="0"/>
          <w:lang w:val="es-MX" w:eastAsia="en-US"/>
        </w:rPr>
      </w:pPr>
    </w:p>
    <w:p w14:paraId="35537590"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El saldo de este rubro al 31 de diciembre de 2023, ascendió a 2 mil 653.5 millones de pesos, y representa el 97.4 % del total del pasivo circulante.</w:t>
      </w:r>
    </w:p>
    <w:p w14:paraId="5DD1DB98" w14:textId="77777777" w:rsidR="007643EF" w:rsidRPr="007643EF" w:rsidRDefault="007643EF" w:rsidP="007643EF">
      <w:pPr>
        <w:autoSpaceDE w:val="0"/>
        <w:autoSpaceDN w:val="0"/>
        <w:adjustRightInd w:val="0"/>
        <w:jc w:val="both"/>
        <w:rPr>
          <w:rFonts w:eastAsia="Calibri"/>
          <w:iCs w:val="0"/>
          <w:lang w:val="es-MX" w:eastAsia="en-US"/>
        </w:rPr>
      </w:pPr>
    </w:p>
    <w:p w14:paraId="56E23E98" w14:textId="77777777" w:rsidR="007643EF" w:rsidRPr="007643EF" w:rsidRDefault="007643EF" w:rsidP="007643EF">
      <w:pPr>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085D8030" wp14:editId="060B5DB9">
            <wp:extent cx="3725545" cy="1391920"/>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40882808" w14:textId="77777777" w:rsidR="007643EF" w:rsidRPr="007643EF" w:rsidRDefault="007643EF" w:rsidP="007643EF">
      <w:pPr>
        <w:jc w:val="both"/>
        <w:outlineLvl w:val="0"/>
        <w:rPr>
          <w:rFonts w:eastAsia="Calibri"/>
          <w:b/>
          <w:bCs/>
          <w:i/>
          <w:iCs w:val="0"/>
          <w:lang w:val="es-MX" w:eastAsia="en-US"/>
        </w:rPr>
      </w:pPr>
    </w:p>
    <w:p w14:paraId="42749A71" w14:textId="77777777" w:rsidR="007643EF" w:rsidRPr="007643EF" w:rsidRDefault="007643EF" w:rsidP="007643EF">
      <w:pPr>
        <w:jc w:val="both"/>
        <w:outlineLvl w:val="0"/>
        <w:rPr>
          <w:rFonts w:eastAsia="Calibri"/>
          <w:b/>
          <w:bCs/>
          <w:i/>
          <w:iCs w:val="0"/>
          <w:lang w:val="es-MX" w:eastAsia="en-US"/>
        </w:rPr>
      </w:pPr>
    </w:p>
    <w:p w14:paraId="0E55AB3C"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Fondos y bienes de terceros en garantía y/o administración a corto plazo</w:t>
      </w:r>
    </w:p>
    <w:p w14:paraId="0796C988" w14:textId="77777777" w:rsidR="007643EF" w:rsidRPr="007643EF" w:rsidRDefault="007643EF" w:rsidP="007643EF">
      <w:pPr>
        <w:jc w:val="both"/>
        <w:outlineLvl w:val="0"/>
        <w:rPr>
          <w:rFonts w:eastAsia="Calibri"/>
          <w:iCs w:val="0"/>
          <w:lang w:val="es-MX" w:eastAsia="en-US"/>
        </w:rPr>
      </w:pPr>
    </w:p>
    <w:p w14:paraId="3EBE2ABE" w14:textId="77777777" w:rsidR="007643EF" w:rsidRPr="007643EF" w:rsidRDefault="007643EF" w:rsidP="007643EF">
      <w:pPr>
        <w:jc w:val="both"/>
        <w:rPr>
          <w:rFonts w:eastAsia="Arial"/>
          <w:iCs w:val="0"/>
          <w:lang w:val="es-MX" w:eastAsia="en-US"/>
        </w:rPr>
      </w:pPr>
      <w:r w:rsidRPr="007643EF">
        <w:rPr>
          <w:rFonts w:eastAsia="Arial"/>
          <w:iCs w:val="0"/>
          <w:lang w:val="es-MX" w:eastAsia="en-US"/>
        </w:rPr>
        <w:t xml:space="preserve">El saldo en este rubro asciende a 10.3 millones de pesos y corresponde a los fondos registrados en el pasivo circulante, son los siguientes: </w:t>
      </w:r>
      <w:r w:rsidRPr="007643EF">
        <w:rPr>
          <w:rFonts w:eastAsia="Arial" w:cs="Times New Roman"/>
          <w:iCs w:val="0"/>
          <w:szCs w:val="22"/>
          <w:lang w:val="es-MX" w:eastAsia="en-US"/>
        </w:rPr>
        <w:t>Fondo de Caja de Ahorro y</w:t>
      </w:r>
      <w:r w:rsidRPr="007643EF">
        <w:rPr>
          <w:rFonts w:eastAsia="Calibri" w:cs="Times New Roman"/>
          <w:iCs w:val="0"/>
          <w:szCs w:val="22"/>
          <w:lang w:val="es-MX" w:eastAsia="en-US"/>
        </w:rPr>
        <w:t xml:space="preserve"> Fondo de Previsión del Seguro de Vida</w:t>
      </w:r>
      <w:r w:rsidRPr="007643EF">
        <w:rPr>
          <w:rFonts w:eastAsia="Arial"/>
          <w:iCs w:val="0"/>
          <w:lang w:val="es-MX" w:eastAsia="en-US"/>
        </w:rPr>
        <w:t xml:space="preserve"> del personal de burocracia, así como, las obligaciones con recursos ajenos.</w:t>
      </w:r>
    </w:p>
    <w:p w14:paraId="207A87AD" w14:textId="77777777" w:rsidR="007643EF" w:rsidRPr="007643EF" w:rsidRDefault="007643EF" w:rsidP="007643EF">
      <w:pPr>
        <w:jc w:val="both"/>
        <w:rPr>
          <w:rFonts w:eastAsia="Arial"/>
          <w:iCs w:val="0"/>
          <w:lang w:val="es-MX" w:eastAsia="en-US"/>
        </w:rPr>
      </w:pPr>
    </w:p>
    <w:p w14:paraId="17B3CAB9" w14:textId="77777777" w:rsidR="007643EF" w:rsidRPr="007643EF" w:rsidRDefault="007643EF" w:rsidP="007643EF">
      <w:pPr>
        <w:jc w:val="both"/>
        <w:rPr>
          <w:rFonts w:eastAsia="Arial"/>
          <w:iCs w:val="0"/>
          <w:lang w:val="es-MX" w:eastAsia="en-US"/>
        </w:rPr>
      </w:pPr>
      <w:r w:rsidRPr="007643EF">
        <w:rPr>
          <w:rFonts w:eastAsia="Arial"/>
          <w:iCs w:val="0"/>
          <w:lang w:val="es-MX" w:eastAsia="en-US"/>
        </w:rPr>
        <w:t>También, se incluyen los recursos derivados de la recaudación de impuestos municipales administrados por el Gobierno del Estado, por concepto de impuestos a la propiedad inmobiliaria (predial, traslado de dominio y accesorios).</w:t>
      </w:r>
    </w:p>
    <w:p w14:paraId="6774CAA2" w14:textId="77777777" w:rsidR="007643EF" w:rsidRPr="007643EF" w:rsidRDefault="007643EF" w:rsidP="007643EF">
      <w:pPr>
        <w:jc w:val="both"/>
        <w:rPr>
          <w:rFonts w:eastAsia="Arial"/>
          <w:iCs w:val="0"/>
          <w:lang w:val="es-MX" w:eastAsia="en-US"/>
        </w:rPr>
      </w:pPr>
    </w:p>
    <w:p w14:paraId="068EA83C" w14:textId="77777777" w:rsidR="007643EF" w:rsidRPr="007643EF" w:rsidRDefault="007643EF" w:rsidP="007643EF">
      <w:pPr>
        <w:jc w:val="both"/>
        <w:rPr>
          <w:rFonts w:eastAsia="Arial"/>
          <w:iCs w:val="0"/>
          <w:lang w:val="es-MX" w:eastAsia="en-US"/>
        </w:rPr>
      </w:pPr>
      <w:r w:rsidRPr="007643EF">
        <w:rPr>
          <w:rFonts w:eastAsia="Arial"/>
          <w:iCs w:val="0"/>
          <w:lang w:val="es-MX" w:eastAsia="en-US"/>
        </w:rPr>
        <w:t>Además, se registran los depósitos en garantía derivado de juicios contenciosos.</w:t>
      </w:r>
    </w:p>
    <w:p w14:paraId="29D8B12F" w14:textId="77777777" w:rsidR="007643EF" w:rsidRPr="007643EF" w:rsidRDefault="007643EF" w:rsidP="007643EF">
      <w:pPr>
        <w:jc w:val="both"/>
        <w:rPr>
          <w:rFonts w:eastAsia="Arial"/>
          <w:iCs w:val="0"/>
          <w:lang w:val="es-MX" w:eastAsia="en-US"/>
        </w:rPr>
      </w:pPr>
    </w:p>
    <w:p w14:paraId="79121211"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31 de diciembre de 2023, este rubro representa el 0.4 % respecto al total del pasivo circulante.</w:t>
      </w:r>
    </w:p>
    <w:p w14:paraId="454C06A5" w14:textId="77777777" w:rsidR="007643EF" w:rsidRPr="007643EF" w:rsidRDefault="007643EF" w:rsidP="007643EF">
      <w:pPr>
        <w:jc w:val="both"/>
        <w:outlineLvl w:val="0"/>
        <w:rPr>
          <w:rFonts w:eastAsia="Calibri"/>
          <w:iCs w:val="0"/>
          <w:lang w:val="es-MX" w:eastAsia="en-US"/>
        </w:rPr>
      </w:pPr>
    </w:p>
    <w:p w14:paraId="10A7B426"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7D174317" wp14:editId="0075D51A">
            <wp:extent cx="3725545" cy="1630680"/>
            <wp:effectExtent l="0" t="0" r="8255"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5545" cy="1630680"/>
                    </a:xfrm>
                    <a:prstGeom prst="rect">
                      <a:avLst/>
                    </a:prstGeom>
                    <a:noFill/>
                    <a:ln>
                      <a:noFill/>
                    </a:ln>
                  </pic:spPr>
                </pic:pic>
              </a:graphicData>
            </a:graphic>
          </wp:inline>
        </w:drawing>
      </w:r>
    </w:p>
    <w:p w14:paraId="0CB6BEDE" w14:textId="77777777" w:rsidR="007643EF" w:rsidRPr="007643EF" w:rsidRDefault="007643EF" w:rsidP="007643EF">
      <w:pPr>
        <w:jc w:val="both"/>
        <w:outlineLvl w:val="0"/>
        <w:rPr>
          <w:rFonts w:eastAsia="Calibri"/>
          <w:iCs w:val="0"/>
          <w:lang w:val="es-MX" w:eastAsia="en-US"/>
        </w:rPr>
      </w:pPr>
    </w:p>
    <w:p w14:paraId="59C512CE"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Provisiones a corto plazo</w:t>
      </w:r>
    </w:p>
    <w:p w14:paraId="786F3F9A" w14:textId="77777777" w:rsidR="007643EF" w:rsidRPr="007643EF" w:rsidRDefault="007643EF" w:rsidP="007643EF">
      <w:pPr>
        <w:jc w:val="both"/>
        <w:outlineLvl w:val="0"/>
        <w:rPr>
          <w:rFonts w:eastAsia="Calibri"/>
          <w:b/>
          <w:bCs/>
          <w:i/>
          <w:lang w:val="es-MX" w:eastAsia="en-US"/>
        </w:rPr>
      </w:pPr>
    </w:p>
    <w:p w14:paraId="5EE7DDD2"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31 de diciembre de 2023, este rubro del pasivo circulante, asciende a 46.7 millones de pesos, el cual se integra, por la provisión para demandas y juicios, y por la provisión para contingencias a corto plazo, para hacer frente a casos fortuitos, que resulten de la operatividad de los entes públicos que conforman el Gobierno del Estado.</w:t>
      </w:r>
    </w:p>
    <w:p w14:paraId="0035AA45" w14:textId="77777777" w:rsidR="007643EF" w:rsidRPr="007643EF" w:rsidRDefault="007643EF" w:rsidP="007643EF">
      <w:pPr>
        <w:jc w:val="both"/>
        <w:outlineLvl w:val="0"/>
        <w:rPr>
          <w:rFonts w:eastAsia="Calibri"/>
          <w:iCs w:val="0"/>
          <w:lang w:val="es-MX" w:eastAsia="en-US"/>
        </w:rPr>
      </w:pPr>
    </w:p>
    <w:p w14:paraId="25D1B88A"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Del total del pasivo circulante, este rubro representa el 1.7 %.</w:t>
      </w:r>
    </w:p>
    <w:p w14:paraId="3AD56297"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s-MX"/>
        </w:rPr>
        <w:lastRenderedPageBreak/>
        <w:drawing>
          <wp:inline distT="0" distB="0" distL="0" distR="0" wp14:anchorId="437CF0C8" wp14:editId="2B2DF430">
            <wp:extent cx="3725545" cy="1391920"/>
            <wp:effectExtent l="0" t="0" r="825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2734137F" w14:textId="77777777" w:rsidR="007643EF" w:rsidRPr="007643EF" w:rsidRDefault="007643EF" w:rsidP="007643EF">
      <w:pPr>
        <w:jc w:val="both"/>
        <w:outlineLvl w:val="0"/>
        <w:rPr>
          <w:rFonts w:eastAsia="Calibri"/>
          <w:b/>
          <w:bCs/>
          <w:i/>
          <w:lang w:val="es-MX" w:eastAsia="en-US"/>
        </w:rPr>
      </w:pPr>
    </w:p>
    <w:p w14:paraId="13DCC468" w14:textId="77777777" w:rsidR="007643EF" w:rsidRPr="007643EF" w:rsidRDefault="007643EF" w:rsidP="007643EF">
      <w:pPr>
        <w:jc w:val="both"/>
        <w:outlineLvl w:val="0"/>
        <w:rPr>
          <w:rFonts w:eastAsia="Calibri"/>
          <w:b/>
          <w:bCs/>
          <w:i/>
          <w:lang w:val="es-MX" w:eastAsia="en-US"/>
        </w:rPr>
      </w:pPr>
    </w:p>
    <w:p w14:paraId="17679862"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Otros pasivos a corto plazo</w:t>
      </w:r>
    </w:p>
    <w:p w14:paraId="7C4DAFD4" w14:textId="77777777" w:rsidR="007643EF" w:rsidRPr="007643EF" w:rsidRDefault="007643EF" w:rsidP="007643EF">
      <w:pPr>
        <w:jc w:val="both"/>
        <w:outlineLvl w:val="0"/>
        <w:rPr>
          <w:rFonts w:eastAsia="Calibri"/>
          <w:iCs w:val="0"/>
          <w:lang w:val="es-MX" w:eastAsia="en-US"/>
        </w:rPr>
      </w:pPr>
    </w:p>
    <w:p w14:paraId="4B5F5C1D" w14:textId="77777777" w:rsidR="007643EF" w:rsidRPr="007643EF" w:rsidRDefault="007643EF" w:rsidP="007643EF">
      <w:pPr>
        <w:jc w:val="both"/>
        <w:outlineLvl w:val="0"/>
        <w:rPr>
          <w:rFonts w:eastAsia="Arial"/>
          <w:iCs w:val="0"/>
          <w:lang w:val="es-MX" w:eastAsia="en-US"/>
        </w:rPr>
      </w:pPr>
      <w:r w:rsidRPr="007643EF">
        <w:rPr>
          <w:rFonts w:eastAsia="Arial"/>
          <w:iCs w:val="0"/>
          <w:lang w:val="es-MX" w:eastAsia="en-US"/>
        </w:rPr>
        <w:t>El sado en este rubro asciende a 13.3 millones de pesos y se integra principalmente de los ingresos por clasificar, así como, por los abonos bancarios pendientes de aplicar.</w:t>
      </w:r>
    </w:p>
    <w:p w14:paraId="245DA75E" w14:textId="77777777" w:rsidR="007643EF" w:rsidRPr="007643EF" w:rsidRDefault="007643EF" w:rsidP="007643EF">
      <w:pPr>
        <w:jc w:val="both"/>
        <w:outlineLvl w:val="0"/>
        <w:rPr>
          <w:rFonts w:eastAsia="Calibri"/>
          <w:iCs w:val="0"/>
          <w:lang w:val="es-MX" w:eastAsia="en-US"/>
        </w:rPr>
      </w:pPr>
    </w:p>
    <w:p w14:paraId="37EA8B07"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31 de diciembre de 2023</w:t>
      </w:r>
      <w:r w:rsidRPr="007643EF">
        <w:rPr>
          <w:rFonts w:eastAsia="Arial"/>
          <w:iCs w:val="0"/>
          <w:lang w:val="es-MX" w:eastAsia="en-US"/>
        </w:rPr>
        <w:t>, este rubro r</w:t>
      </w:r>
      <w:r w:rsidRPr="007643EF">
        <w:rPr>
          <w:rFonts w:eastAsia="Calibri"/>
          <w:iCs w:val="0"/>
          <w:lang w:val="es-MX" w:eastAsia="en-US"/>
        </w:rPr>
        <w:t>epresenta el 0.5 % del total del pasivo circulante.</w:t>
      </w:r>
    </w:p>
    <w:p w14:paraId="3BE46921" w14:textId="77777777" w:rsidR="007643EF" w:rsidRPr="007643EF" w:rsidRDefault="007643EF" w:rsidP="007643EF">
      <w:pPr>
        <w:autoSpaceDE w:val="0"/>
        <w:autoSpaceDN w:val="0"/>
        <w:adjustRightInd w:val="0"/>
        <w:jc w:val="both"/>
        <w:rPr>
          <w:rFonts w:eastAsia="Calibri"/>
          <w:b/>
          <w:bCs/>
          <w:iCs w:val="0"/>
          <w:lang w:val="es-MX" w:eastAsia="en-US"/>
        </w:rPr>
      </w:pPr>
    </w:p>
    <w:p w14:paraId="44A1EBCF" w14:textId="77777777" w:rsidR="007643EF" w:rsidRPr="007643EF" w:rsidRDefault="007643EF" w:rsidP="007643EF">
      <w:pPr>
        <w:autoSpaceDE w:val="0"/>
        <w:autoSpaceDN w:val="0"/>
        <w:adjustRightInd w:val="0"/>
        <w:jc w:val="center"/>
        <w:rPr>
          <w:rFonts w:eastAsia="Calibri"/>
          <w:b/>
          <w:bCs/>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1CFD97FA" wp14:editId="47BC10AF">
            <wp:extent cx="3725545" cy="1419225"/>
            <wp:effectExtent l="0" t="0" r="825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5545" cy="1419225"/>
                    </a:xfrm>
                    <a:prstGeom prst="rect">
                      <a:avLst/>
                    </a:prstGeom>
                    <a:noFill/>
                    <a:ln>
                      <a:noFill/>
                    </a:ln>
                  </pic:spPr>
                </pic:pic>
              </a:graphicData>
            </a:graphic>
          </wp:inline>
        </w:drawing>
      </w:r>
    </w:p>
    <w:p w14:paraId="12E02F5B" w14:textId="06D8BE81" w:rsidR="007643EF" w:rsidRDefault="007643EF" w:rsidP="007643EF">
      <w:pPr>
        <w:autoSpaceDE w:val="0"/>
        <w:autoSpaceDN w:val="0"/>
        <w:adjustRightInd w:val="0"/>
        <w:jc w:val="both"/>
        <w:rPr>
          <w:rFonts w:eastAsia="Calibri"/>
          <w:b/>
          <w:bCs/>
          <w:iCs w:val="0"/>
          <w:lang w:val="es-MX" w:eastAsia="en-US"/>
        </w:rPr>
      </w:pPr>
    </w:p>
    <w:p w14:paraId="4411123C" w14:textId="77777777" w:rsidR="007643EF" w:rsidRPr="007643EF" w:rsidRDefault="007643EF" w:rsidP="007643EF">
      <w:pPr>
        <w:autoSpaceDE w:val="0"/>
        <w:autoSpaceDN w:val="0"/>
        <w:adjustRightInd w:val="0"/>
        <w:jc w:val="both"/>
        <w:rPr>
          <w:rFonts w:eastAsia="Calibri"/>
          <w:b/>
          <w:bCs/>
          <w:iCs w:val="0"/>
          <w:lang w:val="es-MX" w:eastAsia="en-US"/>
        </w:rPr>
      </w:pPr>
    </w:p>
    <w:p w14:paraId="433F9228"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No circulante</w:t>
      </w:r>
    </w:p>
    <w:p w14:paraId="78D6DA0D" w14:textId="77777777" w:rsidR="007643EF" w:rsidRPr="007643EF" w:rsidRDefault="007643EF" w:rsidP="007643EF">
      <w:pPr>
        <w:autoSpaceDE w:val="0"/>
        <w:autoSpaceDN w:val="0"/>
        <w:adjustRightInd w:val="0"/>
        <w:jc w:val="both"/>
        <w:rPr>
          <w:rFonts w:eastAsia="Calibri"/>
          <w:b/>
          <w:bCs/>
          <w:iCs w:val="0"/>
          <w:lang w:val="es-MX" w:eastAsia="en-US"/>
        </w:rPr>
      </w:pPr>
    </w:p>
    <w:p w14:paraId="65781689" w14:textId="5D3842F6" w:rsidR="007643EF" w:rsidRPr="007643EF" w:rsidRDefault="007643EF" w:rsidP="007643EF">
      <w:pPr>
        <w:autoSpaceDE w:val="0"/>
        <w:autoSpaceDN w:val="0"/>
        <w:adjustRightInd w:val="0"/>
        <w:jc w:val="center"/>
        <w:rPr>
          <w:rFonts w:eastAsia="Calibri"/>
          <w:b/>
          <w:bCs/>
          <w:iCs w:val="0"/>
          <w:lang w:val="es-MX" w:eastAsia="en-US"/>
        </w:rPr>
      </w:pPr>
      <w:r>
        <w:rPr>
          <w:rFonts w:eastAsia="Calibri"/>
          <w:b/>
          <w:bCs/>
          <w:iCs w:val="0"/>
          <w:noProof/>
          <w:lang w:val="es-MX" w:eastAsia="en-US"/>
        </w:rPr>
        <w:drawing>
          <wp:inline distT="0" distB="0" distL="0" distR="0" wp14:anchorId="0EEBC5D9" wp14:editId="6FF14E46">
            <wp:extent cx="3725545" cy="3905250"/>
            <wp:effectExtent l="0" t="0" r="825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26003" cy="3905730"/>
                    </a:xfrm>
                    <a:prstGeom prst="rect">
                      <a:avLst/>
                    </a:prstGeom>
                    <a:noFill/>
                  </pic:spPr>
                </pic:pic>
              </a:graphicData>
            </a:graphic>
          </wp:inline>
        </w:drawing>
      </w:r>
    </w:p>
    <w:p w14:paraId="2D72F8D2"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lastRenderedPageBreak/>
        <w:t>Cuentas por pagar a largo plazo</w:t>
      </w:r>
    </w:p>
    <w:p w14:paraId="2EC05F31" w14:textId="77777777" w:rsidR="007643EF" w:rsidRPr="007643EF" w:rsidRDefault="007643EF" w:rsidP="007643EF">
      <w:pPr>
        <w:jc w:val="both"/>
        <w:outlineLvl w:val="0"/>
        <w:rPr>
          <w:rFonts w:eastAsia="Calibri"/>
          <w:bCs/>
          <w:lang w:val="es-MX" w:eastAsia="en-US"/>
        </w:rPr>
      </w:pPr>
    </w:p>
    <w:p w14:paraId="2510988B"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08B8D9C0" w14:textId="77777777" w:rsidR="007643EF" w:rsidRPr="007643EF" w:rsidRDefault="007643EF" w:rsidP="007643EF">
      <w:pPr>
        <w:jc w:val="both"/>
        <w:rPr>
          <w:rFonts w:eastAsia="Calibri"/>
          <w:iCs w:val="0"/>
          <w:lang w:val="es-MX" w:eastAsia="en-US"/>
        </w:rPr>
      </w:pPr>
    </w:p>
    <w:p w14:paraId="368658A4"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El saldo de este rubro al 31 de diciembre de 2023, ascendió a 2 mil 22.6 millones de pesos, y representa el 11 % del total del pasivo no circulante.</w:t>
      </w:r>
    </w:p>
    <w:p w14:paraId="5B0366C4" w14:textId="77777777" w:rsidR="007643EF" w:rsidRPr="007643EF" w:rsidRDefault="007643EF" w:rsidP="007643EF">
      <w:pPr>
        <w:jc w:val="both"/>
        <w:outlineLvl w:val="0"/>
        <w:rPr>
          <w:rFonts w:eastAsia="Calibri"/>
          <w:iCs w:val="0"/>
          <w:lang w:val="es-MX" w:eastAsia="en-US"/>
        </w:rPr>
      </w:pPr>
    </w:p>
    <w:p w14:paraId="2C8A4937" w14:textId="77777777" w:rsidR="007643EF" w:rsidRPr="007643EF" w:rsidRDefault="007643EF" w:rsidP="007643EF">
      <w:pPr>
        <w:jc w:val="center"/>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03F054E9" wp14:editId="35F615D5">
            <wp:extent cx="3725545" cy="1391920"/>
            <wp:effectExtent l="0" t="0" r="825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50279EEB" w14:textId="77777777" w:rsidR="007643EF" w:rsidRPr="007643EF" w:rsidRDefault="007643EF" w:rsidP="007643EF">
      <w:pPr>
        <w:jc w:val="both"/>
        <w:outlineLvl w:val="0"/>
        <w:rPr>
          <w:rFonts w:eastAsia="Calibri"/>
          <w:b/>
          <w:bCs/>
          <w:i/>
          <w:lang w:val="es-MX" w:eastAsia="en-US"/>
        </w:rPr>
      </w:pPr>
    </w:p>
    <w:p w14:paraId="4EE62161" w14:textId="77777777" w:rsidR="007643EF" w:rsidRPr="007643EF" w:rsidRDefault="007643EF" w:rsidP="007643EF">
      <w:pPr>
        <w:jc w:val="both"/>
        <w:outlineLvl w:val="0"/>
        <w:rPr>
          <w:rFonts w:eastAsia="Calibri"/>
          <w:b/>
          <w:bCs/>
          <w:i/>
          <w:lang w:val="es-MX" w:eastAsia="en-US"/>
        </w:rPr>
      </w:pPr>
    </w:p>
    <w:p w14:paraId="6D9B6279"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Documentos por pagar a largo plazo</w:t>
      </w:r>
    </w:p>
    <w:p w14:paraId="7D1DACCC" w14:textId="77777777" w:rsidR="007643EF" w:rsidRPr="007643EF" w:rsidRDefault="007643EF" w:rsidP="007643EF">
      <w:pPr>
        <w:jc w:val="both"/>
        <w:outlineLvl w:val="0"/>
        <w:rPr>
          <w:rFonts w:eastAsia="Calibri"/>
          <w:b/>
          <w:bCs/>
          <w:i/>
          <w:lang w:val="es-MX" w:eastAsia="en-US"/>
        </w:rPr>
      </w:pPr>
    </w:p>
    <w:p w14:paraId="767AFD3A"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6751824B" w14:textId="77777777" w:rsidR="007643EF" w:rsidRPr="007643EF" w:rsidRDefault="007643EF" w:rsidP="007643EF">
      <w:pPr>
        <w:jc w:val="both"/>
        <w:outlineLvl w:val="0"/>
        <w:rPr>
          <w:rFonts w:eastAsia="Calibri"/>
          <w:iCs w:val="0"/>
          <w:lang w:val="es-MX" w:eastAsia="en-US"/>
        </w:rPr>
      </w:pPr>
    </w:p>
    <w:p w14:paraId="3D006A90" w14:textId="77777777" w:rsidR="007643EF" w:rsidRPr="007643EF" w:rsidRDefault="007643EF" w:rsidP="007643EF">
      <w:pPr>
        <w:jc w:val="both"/>
        <w:outlineLvl w:val="0"/>
        <w:rPr>
          <w:rFonts w:eastAsia="Calibri"/>
          <w:bCs/>
          <w:lang w:val="es-MX" w:eastAsia="en-US"/>
        </w:rPr>
      </w:pPr>
      <w:r w:rsidRPr="007643EF">
        <w:rPr>
          <w:rFonts w:eastAsia="Calibri"/>
          <w:bCs/>
          <w:iCs w:val="0"/>
          <w:lang w:val="es-MX" w:eastAsia="en-US"/>
        </w:rPr>
        <w:t xml:space="preserve">El saldo </w:t>
      </w:r>
      <w:r w:rsidRPr="007643EF">
        <w:rPr>
          <w:rFonts w:eastAsia="Calibri"/>
          <w:iCs w:val="0"/>
          <w:lang w:val="es-MX" w:eastAsia="en-US"/>
        </w:rPr>
        <w:t>al 31 de diciembre de 2023,</w:t>
      </w:r>
      <w:r w:rsidRPr="007643EF">
        <w:rPr>
          <w:rFonts w:eastAsia="Calibri"/>
          <w:bCs/>
          <w:iCs w:val="0"/>
          <w:lang w:val="es-MX" w:eastAsia="en-US"/>
        </w:rPr>
        <w:t xml:space="preserve"> es de 0.1 millones de pesos</w:t>
      </w:r>
    </w:p>
    <w:p w14:paraId="5404DEB1" w14:textId="77777777" w:rsidR="007643EF" w:rsidRPr="007643EF" w:rsidRDefault="007643EF" w:rsidP="007643EF">
      <w:pPr>
        <w:jc w:val="both"/>
        <w:outlineLvl w:val="0"/>
        <w:rPr>
          <w:rFonts w:eastAsia="Calibri"/>
          <w:iCs w:val="0"/>
          <w:lang w:val="es-MX" w:eastAsia="en-US"/>
        </w:rPr>
      </w:pPr>
    </w:p>
    <w:p w14:paraId="59E017F9"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3CB06625" wp14:editId="564B6425">
            <wp:extent cx="3725545" cy="1391920"/>
            <wp:effectExtent l="0" t="0" r="825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050485F9" w14:textId="77777777" w:rsidR="007643EF" w:rsidRPr="007643EF" w:rsidRDefault="007643EF" w:rsidP="007643EF">
      <w:pPr>
        <w:jc w:val="both"/>
        <w:rPr>
          <w:rFonts w:eastAsia="Calibri"/>
          <w:b/>
          <w:bCs/>
          <w:i/>
          <w:iCs w:val="0"/>
          <w:lang w:val="es-MX" w:eastAsia="en-US"/>
        </w:rPr>
      </w:pPr>
    </w:p>
    <w:p w14:paraId="1994651F" w14:textId="77777777" w:rsidR="007643EF" w:rsidRPr="007643EF" w:rsidRDefault="007643EF" w:rsidP="007643EF">
      <w:pPr>
        <w:jc w:val="both"/>
        <w:rPr>
          <w:rFonts w:eastAsia="Calibri"/>
          <w:b/>
          <w:bCs/>
          <w:i/>
          <w:iCs w:val="0"/>
          <w:lang w:val="es-MX" w:eastAsia="en-US"/>
        </w:rPr>
      </w:pPr>
    </w:p>
    <w:p w14:paraId="6CF80A8F"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Deuda pública a largo plazo</w:t>
      </w:r>
    </w:p>
    <w:p w14:paraId="02BA07EA" w14:textId="77777777" w:rsidR="007643EF" w:rsidRPr="007643EF" w:rsidRDefault="007643EF" w:rsidP="007643EF">
      <w:pPr>
        <w:jc w:val="both"/>
        <w:outlineLvl w:val="0"/>
        <w:rPr>
          <w:rFonts w:eastAsia="Calibri"/>
          <w:b/>
          <w:bCs/>
          <w:i/>
          <w:lang w:val="es-MX" w:eastAsia="en-US"/>
        </w:rPr>
      </w:pPr>
    </w:p>
    <w:p w14:paraId="35CE4824" w14:textId="77777777" w:rsidR="007643EF" w:rsidRPr="007643EF" w:rsidRDefault="007643EF" w:rsidP="007643EF">
      <w:pPr>
        <w:jc w:val="both"/>
        <w:rPr>
          <w:rFonts w:eastAsia="Arial"/>
          <w:iCs w:val="0"/>
          <w:lang w:val="es-MX" w:eastAsia="en-US"/>
        </w:rPr>
      </w:pPr>
      <w:r w:rsidRPr="007643EF">
        <w:rPr>
          <w:rFonts w:eastAsia="Calibri"/>
          <w:iCs w:val="0"/>
          <w:lang w:val="es-MX" w:eastAsia="en-US"/>
        </w:rPr>
        <w:t>Al 31 de diciembre de 2023</w:t>
      </w:r>
      <w:r w:rsidRPr="007643EF">
        <w:rPr>
          <w:rFonts w:eastAsia="Arial"/>
          <w:iCs w:val="0"/>
          <w:lang w:val="es-MX" w:eastAsia="en-US"/>
        </w:rPr>
        <w:t xml:space="preserve">, la deuda pública a largo plazo, reportó un saldo total de 12 mil 688.6 millones pesos, dicha deuda se tiene contratada con las siguientes instituciones bancarias, BANOBRAS, S.N.C., Banco Santander, S.A., BBVA Bancomer, S.A., y Banorte, S.A. </w:t>
      </w:r>
    </w:p>
    <w:p w14:paraId="45B26665" w14:textId="77777777" w:rsidR="007643EF" w:rsidRPr="007643EF" w:rsidRDefault="007643EF" w:rsidP="007643EF">
      <w:pPr>
        <w:jc w:val="both"/>
        <w:rPr>
          <w:rFonts w:eastAsia="Arial"/>
          <w:iCs w:val="0"/>
          <w:lang w:val="es-MX" w:eastAsia="en-US"/>
        </w:rPr>
      </w:pPr>
    </w:p>
    <w:p w14:paraId="680F0EF3"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Representa el 68.7 % del total del pasivo no circulante.</w:t>
      </w:r>
    </w:p>
    <w:p w14:paraId="24BD6D73" w14:textId="77777777" w:rsidR="007643EF" w:rsidRPr="007643EF" w:rsidRDefault="007643EF" w:rsidP="007643EF">
      <w:pPr>
        <w:jc w:val="both"/>
        <w:outlineLvl w:val="0"/>
        <w:rPr>
          <w:rFonts w:eastAsia="Calibri"/>
          <w:iCs w:val="0"/>
          <w:lang w:val="es-MX" w:eastAsia="en-US"/>
        </w:rPr>
      </w:pPr>
    </w:p>
    <w:p w14:paraId="121CA135"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s-MX"/>
        </w:rPr>
        <w:drawing>
          <wp:inline distT="0" distB="0" distL="0" distR="0" wp14:anchorId="254DBCF4" wp14:editId="3256AA7E">
            <wp:extent cx="3725545" cy="1391920"/>
            <wp:effectExtent l="0" t="0" r="825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1F06008B"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lastRenderedPageBreak/>
        <w:t>Pasivos diferidos a largo plazo</w:t>
      </w:r>
    </w:p>
    <w:p w14:paraId="444F9875" w14:textId="77777777" w:rsidR="007643EF" w:rsidRPr="007643EF" w:rsidRDefault="007643EF" w:rsidP="007643EF">
      <w:pPr>
        <w:jc w:val="both"/>
        <w:outlineLvl w:val="0"/>
        <w:rPr>
          <w:rFonts w:eastAsia="Calibri"/>
          <w:b/>
          <w:bCs/>
          <w:i/>
          <w:iCs w:val="0"/>
          <w:lang w:val="es-MX" w:eastAsia="en-US"/>
        </w:rPr>
      </w:pPr>
    </w:p>
    <w:p w14:paraId="3C9890AD"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Este rubro del pasivo no circulante se integra por el registro de prestaciones salariales del personal de burocracia y magisterio del Gobierno del Estado como son: sueldos, prima vacacional y dominical, bono de productividad, tiempo extra, gastos funerarios, honorarios y aguinaldo devengado no pagado a la fecha que se informa, las aportaciones patronales al IMSS, ISSTECH, INFONAVIT, aportaciones para seguros y el 2 % del Impuesto Sobre Nóminas.</w:t>
      </w:r>
    </w:p>
    <w:p w14:paraId="43F32453" w14:textId="77777777" w:rsidR="007643EF" w:rsidRPr="007643EF" w:rsidRDefault="007643EF" w:rsidP="007643EF">
      <w:pPr>
        <w:autoSpaceDE w:val="0"/>
        <w:autoSpaceDN w:val="0"/>
        <w:adjustRightInd w:val="0"/>
        <w:jc w:val="both"/>
        <w:rPr>
          <w:rFonts w:eastAsia="Calibri"/>
          <w:iCs w:val="0"/>
          <w:lang w:val="es-MX" w:eastAsia="en-US"/>
        </w:rPr>
      </w:pPr>
    </w:p>
    <w:p w14:paraId="61C55812"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También, forman parte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las asignaciones presupuestarias por concepto de constancias de antecedentes no penales, los remanentes de recursos y los premios otorgados.</w:t>
      </w:r>
    </w:p>
    <w:p w14:paraId="6AD09529" w14:textId="77777777" w:rsidR="007643EF" w:rsidRPr="007643EF" w:rsidRDefault="007643EF" w:rsidP="007643EF">
      <w:pPr>
        <w:autoSpaceDE w:val="0"/>
        <w:autoSpaceDN w:val="0"/>
        <w:adjustRightInd w:val="0"/>
        <w:jc w:val="both"/>
        <w:rPr>
          <w:rFonts w:eastAsia="Calibri"/>
          <w:iCs w:val="0"/>
          <w:lang w:val="es-MX" w:eastAsia="en-US"/>
        </w:rPr>
      </w:pPr>
    </w:p>
    <w:p w14:paraId="5EF731F1"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Se incluyen en este rubro, el registro de las retenciones por servicios personales: ISSS, crédito INFONAVIT, cuota IMSS, crédito FONACOT, cuota SAR, cuota FPSSTS, cuota ISSTECH, cuota ISSSTE, cuota FOVISSSTE, 2 % del Impuesto Sobre Nóminas, aportaciones al fondo de ahorro, recuperación de préstamos personales, préstamos con instituciones financieras, cuota sindical, pensión alimenticia, disciplinarios, seguro de vida, aportaciones al seguro institucional; además, de las retenciones y contribuciones a favor de terceros, Impuesto Sobre la Renta, IVA por pagar, ISR por honorarios y/o arrendamiento de inmuebles, así como, las sanciones a contratistas, y la actualización y los recargos.</w:t>
      </w:r>
    </w:p>
    <w:p w14:paraId="4C43C1B1" w14:textId="77777777" w:rsidR="007643EF" w:rsidRPr="007643EF" w:rsidRDefault="007643EF" w:rsidP="007643EF">
      <w:pPr>
        <w:autoSpaceDE w:val="0"/>
        <w:autoSpaceDN w:val="0"/>
        <w:adjustRightInd w:val="0"/>
        <w:jc w:val="both"/>
        <w:rPr>
          <w:rFonts w:eastAsia="Calibri"/>
          <w:iCs w:val="0"/>
          <w:lang w:val="es-MX" w:eastAsia="en-US"/>
        </w:rPr>
      </w:pPr>
    </w:p>
    <w:p w14:paraId="5E6A86A7"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Además, por las retenciones efectuadas a los contratistas por obra pública, por los siguientes conceptos:</w:t>
      </w:r>
    </w:p>
    <w:p w14:paraId="37BCAF54" w14:textId="77777777" w:rsidR="007643EF" w:rsidRPr="007643EF" w:rsidRDefault="007643EF" w:rsidP="007643EF">
      <w:pPr>
        <w:jc w:val="both"/>
        <w:outlineLvl w:val="0"/>
        <w:rPr>
          <w:rFonts w:eastAsia="Calibri"/>
          <w:iCs w:val="0"/>
          <w:lang w:val="es-MX" w:eastAsia="en-US"/>
        </w:rPr>
      </w:pPr>
    </w:p>
    <w:p w14:paraId="5C9EEA41"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1 % de Aportación al Estado para Obras de Beneficio Social,</w:t>
      </w:r>
    </w:p>
    <w:p w14:paraId="578D970E"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3 al millar para el Instituto de Capacitación de la Industria de la Construcción, y</w:t>
      </w:r>
    </w:p>
    <w:p w14:paraId="6DE8CCF3" w14:textId="77777777" w:rsidR="007643EF" w:rsidRPr="007643EF" w:rsidRDefault="007643EF" w:rsidP="007643EF">
      <w:pPr>
        <w:numPr>
          <w:ilvl w:val="0"/>
          <w:numId w:val="1"/>
        </w:numPr>
        <w:spacing w:after="120"/>
        <w:ind w:left="357" w:hanging="357"/>
        <w:jc w:val="both"/>
        <w:rPr>
          <w:rFonts w:eastAsia="Calibri"/>
          <w:iCs w:val="0"/>
          <w:lang w:val="es-MX" w:eastAsia="en-US"/>
        </w:rPr>
      </w:pPr>
      <w:r w:rsidRPr="007643EF">
        <w:rPr>
          <w:rFonts w:eastAsia="Calibri"/>
          <w:iCs w:val="0"/>
          <w:lang w:val="es-MX" w:eastAsia="en-US"/>
        </w:rPr>
        <w:t>5 al millar de Inspección y Vigilancia.</w:t>
      </w:r>
    </w:p>
    <w:p w14:paraId="170B7074"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 xml:space="preserve">Por otra parte, dentro este rubro se encuentra los préstamos del fondo </w:t>
      </w:r>
      <w:proofErr w:type="gramStart"/>
      <w:r w:rsidRPr="007643EF">
        <w:rPr>
          <w:rFonts w:eastAsia="Calibri"/>
          <w:iCs w:val="0"/>
          <w:lang w:val="es-MX" w:eastAsia="en-US"/>
        </w:rPr>
        <w:t>auxiliar,  los</w:t>
      </w:r>
      <w:proofErr w:type="gramEnd"/>
      <w:r w:rsidRPr="007643EF">
        <w:rPr>
          <w:rFonts w:eastAsia="Calibri"/>
          <w:iCs w:val="0"/>
          <w:lang w:val="es-MX" w:eastAsia="en-US"/>
        </w:rPr>
        <w:t xml:space="preserve"> cheques en circulación no cobrados en oportunidad, los cheques cancelados, los adeudos de gastos por responsabilidades, los depósitos de entes extintos, los rendimientos bancarios, los pasivos trasladados de dependencias y los abonos bancarios por aclarar.</w:t>
      </w:r>
    </w:p>
    <w:p w14:paraId="2CE5D474" w14:textId="77777777" w:rsidR="007643EF" w:rsidRPr="007643EF" w:rsidRDefault="007643EF" w:rsidP="007643EF">
      <w:pPr>
        <w:jc w:val="both"/>
        <w:outlineLvl w:val="0"/>
        <w:rPr>
          <w:rFonts w:eastAsia="Calibri"/>
          <w:iCs w:val="0"/>
          <w:lang w:val="es-MX" w:eastAsia="en-US"/>
        </w:rPr>
      </w:pPr>
    </w:p>
    <w:p w14:paraId="08143678"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El saldo de este rubro al 31 de diciembre de 2023, ascendió a 2 mil 755.0 millones de pesos, y representa el 14.9 % del total del pasivo no circulante.</w:t>
      </w:r>
    </w:p>
    <w:p w14:paraId="0A7A4249" w14:textId="77777777" w:rsidR="007643EF" w:rsidRPr="007643EF" w:rsidRDefault="007643EF" w:rsidP="007643EF">
      <w:pPr>
        <w:jc w:val="both"/>
        <w:outlineLvl w:val="0"/>
        <w:rPr>
          <w:rFonts w:eastAsia="Calibri"/>
          <w:iCs w:val="0"/>
          <w:lang w:val="es-MX" w:eastAsia="en-US"/>
        </w:rPr>
      </w:pPr>
    </w:p>
    <w:p w14:paraId="0F4D8FD6" w14:textId="77777777" w:rsidR="007643EF" w:rsidRPr="007643EF" w:rsidRDefault="007643EF" w:rsidP="007643EF">
      <w:pPr>
        <w:jc w:val="center"/>
        <w:outlineLvl w:val="0"/>
        <w:rPr>
          <w:rFonts w:eastAsia="Calibri"/>
          <w:b/>
          <w:bCs/>
          <w:i/>
          <w:iCs w:val="0"/>
          <w:lang w:val="es-MX" w:eastAsia="en-US"/>
        </w:rPr>
      </w:pPr>
      <w:r w:rsidRPr="007643EF">
        <w:rPr>
          <w:rFonts w:ascii="Calibri" w:eastAsia="Calibri" w:hAnsi="Calibri" w:cs="Times New Roman"/>
          <w:iCs w:val="0"/>
          <w:noProof/>
          <w:sz w:val="22"/>
          <w:szCs w:val="22"/>
          <w:lang w:val="es-MX" w:eastAsia="en-US"/>
        </w:rPr>
        <w:drawing>
          <wp:inline distT="0" distB="0" distL="0" distR="0" wp14:anchorId="41D7730C" wp14:editId="016573F2">
            <wp:extent cx="3725545" cy="1391920"/>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2D93C9C1" w14:textId="77777777" w:rsidR="007643EF" w:rsidRPr="007643EF" w:rsidRDefault="007643EF" w:rsidP="007643EF">
      <w:pPr>
        <w:jc w:val="both"/>
        <w:outlineLvl w:val="0"/>
        <w:rPr>
          <w:rFonts w:eastAsia="Calibri"/>
          <w:b/>
          <w:bCs/>
          <w:i/>
          <w:iCs w:val="0"/>
          <w:lang w:val="es-MX" w:eastAsia="en-US"/>
        </w:rPr>
      </w:pPr>
    </w:p>
    <w:p w14:paraId="19AFAFC2" w14:textId="77777777" w:rsidR="007643EF" w:rsidRPr="007643EF" w:rsidRDefault="007643EF" w:rsidP="007643EF">
      <w:pPr>
        <w:jc w:val="both"/>
        <w:outlineLvl w:val="0"/>
        <w:rPr>
          <w:rFonts w:eastAsia="Calibri"/>
          <w:b/>
          <w:bCs/>
          <w:i/>
          <w:iCs w:val="0"/>
          <w:lang w:val="es-MX" w:eastAsia="en-US"/>
        </w:rPr>
      </w:pPr>
    </w:p>
    <w:p w14:paraId="03F65343"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Fondos y bienes de terceros en garantía y/o administración a largo plazo</w:t>
      </w:r>
    </w:p>
    <w:p w14:paraId="1BE4E425" w14:textId="77777777" w:rsidR="007643EF" w:rsidRPr="007643EF" w:rsidRDefault="007643EF" w:rsidP="007643EF">
      <w:pPr>
        <w:jc w:val="both"/>
        <w:outlineLvl w:val="0"/>
        <w:rPr>
          <w:rFonts w:eastAsia="Calibri"/>
          <w:iCs w:val="0"/>
          <w:lang w:val="es-MX" w:eastAsia="en-US"/>
        </w:rPr>
      </w:pPr>
    </w:p>
    <w:p w14:paraId="371118C3"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31 de diciembre de 2023, el saldo de este rubro asciende a 933.7 millones de pesos y corresponde a los siguientes fondos: Fondo de Garantía de Notariado del Estado, Fondo de Previsión del Seguro de Vida del personal de burocracia y Fondo Nacional de Desastres Naturales.</w:t>
      </w:r>
    </w:p>
    <w:p w14:paraId="25EFC8F5" w14:textId="77777777" w:rsidR="007643EF" w:rsidRPr="007643EF" w:rsidRDefault="007643EF" w:rsidP="007643EF">
      <w:pPr>
        <w:jc w:val="both"/>
        <w:outlineLvl w:val="0"/>
        <w:rPr>
          <w:rFonts w:eastAsia="Calibri"/>
          <w:iCs w:val="0"/>
          <w:lang w:val="es-MX" w:eastAsia="en-US"/>
        </w:rPr>
      </w:pPr>
    </w:p>
    <w:p w14:paraId="7AFD29DB"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Además, se integra por el registro de recursos administrados pertenecientes a los entes públicos, correspondiente a las obligaciones con recursos ajenos y recursos propios, destinados para programas en zonas prioritarias y vulnerables, y para el desarrollo de pueblos y comunidades indígenas.</w:t>
      </w:r>
    </w:p>
    <w:p w14:paraId="5D3BA201" w14:textId="77777777" w:rsidR="007643EF" w:rsidRPr="007643EF" w:rsidRDefault="007643EF" w:rsidP="007643EF">
      <w:pPr>
        <w:jc w:val="both"/>
        <w:outlineLvl w:val="0"/>
        <w:rPr>
          <w:rFonts w:eastAsia="Calibri"/>
          <w:iCs w:val="0"/>
          <w:lang w:val="es-MX" w:eastAsia="en-US"/>
        </w:rPr>
      </w:pPr>
    </w:p>
    <w:p w14:paraId="53C2EC7C" w14:textId="77777777" w:rsidR="007643EF" w:rsidRPr="007643EF" w:rsidRDefault="007643EF" w:rsidP="007643EF">
      <w:pPr>
        <w:jc w:val="both"/>
        <w:rPr>
          <w:rFonts w:eastAsia="Arial"/>
          <w:iCs w:val="0"/>
          <w:lang w:val="es-MX" w:eastAsia="en-US"/>
        </w:rPr>
      </w:pPr>
      <w:r w:rsidRPr="007643EF">
        <w:rPr>
          <w:rFonts w:eastAsia="Calibri"/>
          <w:iCs w:val="0"/>
          <w:lang w:val="es-MX" w:eastAsia="en-US"/>
        </w:rPr>
        <w:t xml:space="preserve">Asimismo, se incluyen dentro de este rubro, </w:t>
      </w:r>
      <w:r w:rsidRPr="007643EF">
        <w:rPr>
          <w:rFonts w:eastAsia="Arial"/>
          <w:iCs w:val="0"/>
          <w:lang w:val="es-MX" w:eastAsia="en-US"/>
        </w:rPr>
        <w:t xml:space="preserve">los recursos derivados de la recaudación de impuestos municipales administrados por el Gobierno del Estado, por concepto de Impuestos a la propiedad inmobiliaria (predial, traslación de dominio y sobre fraccionamientos), </w:t>
      </w:r>
      <w:r w:rsidRPr="007643EF">
        <w:rPr>
          <w:rFonts w:eastAsia="Calibri"/>
          <w:iCs w:val="0"/>
          <w:lang w:val="es-MX" w:eastAsia="en-US"/>
        </w:rPr>
        <w:t xml:space="preserve">los rendimientos bancarios, costo de nóminas, cuotas ISSTECH y 2 % del Impuesto </w:t>
      </w:r>
      <w:r w:rsidRPr="007643EF">
        <w:rPr>
          <w:rFonts w:eastAsia="Calibri"/>
          <w:iCs w:val="0"/>
          <w:lang w:val="es-MX" w:eastAsia="en-US"/>
        </w:rPr>
        <w:lastRenderedPageBreak/>
        <w:t xml:space="preserve">Sobre Nóminas, cheques en circulación no cobrados en su oportunidad, recursos de los programas Amanecer y </w:t>
      </w:r>
      <w:proofErr w:type="spellStart"/>
      <w:r w:rsidRPr="007643EF">
        <w:rPr>
          <w:rFonts w:eastAsia="Calibri"/>
          <w:iCs w:val="0"/>
          <w:lang w:val="es-MX" w:eastAsia="en-US"/>
        </w:rPr>
        <w:t>BanMujer</w:t>
      </w:r>
      <w:proofErr w:type="spellEnd"/>
      <w:r w:rsidRPr="007643EF">
        <w:rPr>
          <w:rFonts w:eastAsia="Calibri"/>
          <w:iCs w:val="0"/>
          <w:lang w:val="es-MX" w:eastAsia="en-US"/>
        </w:rPr>
        <w:t xml:space="preserve">, sobrantes de socorro de ley, recursos por anticipo de contratos, aportaciones al seguro de vida, reintegros de recursos, subsidio al empleo, recursos de entes extintos y maquila de cheques. </w:t>
      </w:r>
    </w:p>
    <w:p w14:paraId="77F72F01" w14:textId="77777777" w:rsidR="007643EF" w:rsidRPr="007643EF" w:rsidRDefault="007643EF" w:rsidP="007643EF">
      <w:pPr>
        <w:jc w:val="both"/>
        <w:outlineLvl w:val="0"/>
        <w:rPr>
          <w:rFonts w:eastAsia="Calibri"/>
          <w:iCs w:val="0"/>
          <w:lang w:val="es-MX" w:eastAsia="en-US"/>
        </w:rPr>
      </w:pPr>
    </w:p>
    <w:p w14:paraId="60D33106"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Este rubro representa el 5.1 % del total del pasivo no circulante.</w:t>
      </w:r>
    </w:p>
    <w:p w14:paraId="210C902B" w14:textId="77777777" w:rsidR="007643EF" w:rsidRPr="007643EF" w:rsidRDefault="007643EF" w:rsidP="007643EF">
      <w:pPr>
        <w:jc w:val="both"/>
        <w:outlineLvl w:val="0"/>
        <w:rPr>
          <w:rFonts w:eastAsia="Calibri"/>
          <w:iCs w:val="0"/>
          <w:lang w:val="es-MX" w:eastAsia="en-US"/>
        </w:rPr>
      </w:pPr>
    </w:p>
    <w:p w14:paraId="7A03850E"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n-US"/>
        </w:rPr>
        <w:drawing>
          <wp:inline distT="0" distB="0" distL="0" distR="0" wp14:anchorId="2C1DC390" wp14:editId="0CE42B15">
            <wp:extent cx="3725545" cy="1569720"/>
            <wp:effectExtent l="0" t="0" r="825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25545" cy="1569720"/>
                    </a:xfrm>
                    <a:prstGeom prst="rect">
                      <a:avLst/>
                    </a:prstGeom>
                    <a:noFill/>
                    <a:ln>
                      <a:noFill/>
                    </a:ln>
                  </pic:spPr>
                </pic:pic>
              </a:graphicData>
            </a:graphic>
          </wp:inline>
        </w:drawing>
      </w:r>
    </w:p>
    <w:p w14:paraId="74145634" w14:textId="77777777" w:rsidR="007643EF" w:rsidRPr="007643EF" w:rsidRDefault="007643EF" w:rsidP="007643EF">
      <w:pPr>
        <w:jc w:val="both"/>
        <w:outlineLvl w:val="0"/>
        <w:rPr>
          <w:rFonts w:eastAsia="Calibri"/>
          <w:iCs w:val="0"/>
          <w:lang w:val="es-MX" w:eastAsia="en-US"/>
        </w:rPr>
      </w:pPr>
    </w:p>
    <w:p w14:paraId="4B3C0D4A" w14:textId="77777777" w:rsidR="007643EF" w:rsidRPr="007643EF" w:rsidRDefault="007643EF" w:rsidP="007643EF">
      <w:pPr>
        <w:jc w:val="both"/>
        <w:outlineLvl w:val="0"/>
        <w:rPr>
          <w:rFonts w:eastAsia="Calibri"/>
          <w:iCs w:val="0"/>
          <w:lang w:val="es-MX" w:eastAsia="en-US"/>
        </w:rPr>
      </w:pPr>
    </w:p>
    <w:p w14:paraId="59D6A839" w14:textId="77777777" w:rsidR="007643EF" w:rsidRPr="007643EF" w:rsidRDefault="007643EF" w:rsidP="007643EF">
      <w:pPr>
        <w:widowControl w:val="0"/>
        <w:jc w:val="both"/>
        <w:rPr>
          <w:rFonts w:cs="Times New Roman"/>
          <w:b/>
          <w:i/>
          <w:iCs w:val="0"/>
          <w:snapToGrid w:val="0"/>
          <w:u w:val="single"/>
          <w:lang w:val="es-MX"/>
        </w:rPr>
      </w:pPr>
      <w:r w:rsidRPr="007643EF">
        <w:rPr>
          <w:rFonts w:cs="Times New Roman"/>
          <w:b/>
          <w:i/>
          <w:iCs w:val="0"/>
          <w:snapToGrid w:val="0"/>
          <w:u w:val="single"/>
          <w:lang w:val="es-MX"/>
        </w:rPr>
        <w:t>Provisiones a largo plazo</w:t>
      </w:r>
    </w:p>
    <w:p w14:paraId="1B007278" w14:textId="77777777" w:rsidR="007643EF" w:rsidRPr="007643EF" w:rsidRDefault="007643EF" w:rsidP="007643EF">
      <w:pPr>
        <w:autoSpaceDE w:val="0"/>
        <w:autoSpaceDN w:val="0"/>
        <w:adjustRightInd w:val="0"/>
        <w:jc w:val="both"/>
        <w:rPr>
          <w:rFonts w:eastAsia="Calibri"/>
          <w:b/>
          <w:bCs/>
          <w:i/>
          <w:iCs w:val="0"/>
          <w:lang w:val="es-MX" w:eastAsia="en-US"/>
        </w:rPr>
      </w:pPr>
    </w:p>
    <w:p w14:paraId="7B341E50"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31 de diciembre de 2023, este rubro del pasivo no circulante, asciende a 58.4 millones de pesos, integrado por la provisión para demandas y juicios, por la provisión para pensiones y por la provisión para contingencias a largo plazo, para hacer frente a casos fortuitos, que resulten de la operatividad de los entes públicos que conforman el Gobierno del estado de Chiapas.</w:t>
      </w:r>
    </w:p>
    <w:p w14:paraId="197BD029" w14:textId="77777777" w:rsidR="007643EF" w:rsidRPr="007643EF" w:rsidRDefault="007643EF" w:rsidP="007643EF">
      <w:pPr>
        <w:jc w:val="both"/>
        <w:outlineLvl w:val="0"/>
        <w:rPr>
          <w:rFonts w:eastAsia="Calibri"/>
          <w:iCs w:val="0"/>
          <w:lang w:val="es-MX" w:eastAsia="en-US"/>
        </w:rPr>
      </w:pPr>
    </w:p>
    <w:p w14:paraId="3DED7A5A"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Representa el 0.3 % del total del pasivo no circulante.</w:t>
      </w:r>
    </w:p>
    <w:p w14:paraId="5A7BB725" w14:textId="77777777" w:rsidR="007643EF" w:rsidRPr="007643EF" w:rsidRDefault="007643EF" w:rsidP="007643EF">
      <w:pPr>
        <w:jc w:val="both"/>
        <w:outlineLvl w:val="0"/>
        <w:rPr>
          <w:rFonts w:eastAsia="Calibri"/>
          <w:iCs w:val="0"/>
          <w:lang w:val="es-MX" w:eastAsia="en-US"/>
        </w:rPr>
      </w:pPr>
    </w:p>
    <w:p w14:paraId="572DE839" w14:textId="77777777" w:rsidR="007643EF" w:rsidRPr="007643EF" w:rsidRDefault="007643EF" w:rsidP="007643EF">
      <w:pPr>
        <w:jc w:val="center"/>
        <w:outlineLvl w:val="0"/>
        <w:rPr>
          <w:rFonts w:eastAsia="Calibri"/>
          <w:iCs w:val="0"/>
          <w:lang w:val="es-MX" w:eastAsia="en-US"/>
        </w:rPr>
      </w:pPr>
      <w:r w:rsidRPr="007643EF">
        <w:rPr>
          <w:rFonts w:ascii="Calibri" w:eastAsia="Calibri" w:hAnsi="Calibri" w:cs="Times New Roman"/>
          <w:iCs w:val="0"/>
          <w:noProof/>
          <w:sz w:val="22"/>
          <w:szCs w:val="22"/>
          <w:lang w:val="es-MX" w:eastAsia="en-US"/>
        </w:rPr>
        <w:drawing>
          <wp:inline distT="0" distB="0" distL="0" distR="0" wp14:anchorId="28557359" wp14:editId="7136EDB1">
            <wp:extent cx="3725545" cy="1391920"/>
            <wp:effectExtent l="0" t="0" r="825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5545" cy="1391920"/>
                    </a:xfrm>
                    <a:prstGeom prst="rect">
                      <a:avLst/>
                    </a:prstGeom>
                    <a:noFill/>
                    <a:ln>
                      <a:noFill/>
                    </a:ln>
                  </pic:spPr>
                </pic:pic>
              </a:graphicData>
            </a:graphic>
          </wp:inline>
        </w:drawing>
      </w:r>
    </w:p>
    <w:p w14:paraId="1732AE1F" w14:textId="77777777" w:rsidR="007643EF" w:rsidRPr="007643EF" w:rsidRDefault="007643EF" w:rsidP="007643EF">
      <w:pPr>
        <w:jc w:val="both"/>
        <w:outlineLvl w:val="0"/>
        <w:rPr>
          <w:rFonts w:eastAsia="Calibri"/>
          <w:iCs w:val="0"/>
          <w:lang w:val="es-MX" w:eastAsia="en-US"/>
        </w:rPr>
      </w:pPr>
    </w:p>
    <w:p w14:paraId="0E4EA5D2" w14:textId="77777777" w:rsidR="007643EF" w:rsidRPr="007643EF" w:rsidRDefault="007643EF" w:rsidP="007643EF">
      <w:pPr>
        <w:jc w:val="both"/>
        <w:outlineLvl w:val="0"/>
        <w:rPr>
          <w:rFonts w:eastAsia="Calibri"/>
          <w:iCs w:val="0"/>
          <w:lang w:val="es-MX" w:eastAsia="en-US"/>
        </w:rPr>
      </w:pPr>
    </w:p>
    <w:p w14:paraId="7A3C127F" w14:textId="77777777" w:rsidR="007643EF" w:rsidRPr="007643EF" w:rsidRDefault="007643EF" w:rsidP="007643EF">
      <w:pPr>
        <w:numPr>
          <w:ilvl w:val="1"/>
          <w:numId w:val="0"/>
        </w:numPr>
        <w:jc w:val="both"/>
        <w:rPr>
          <w:rFonts w:cs="Times New Roman"/>
          <w:b/>
          <w:iCs w:val="0"/>
          <w:szCs w:val="22"/>
          <w:lang w:val="es-MX" w:eastAsia="en-US"/>
        </w:rPr>
      </w:pPr>
      <w:bookmarkStart w:id="1" w:name="_Hlk129620451"/>
      <w:r w:rsidRPr="007643EF">
        <w:rPr>
          <w:rFonts w:cs="Times New Roman"/>
          <w:b/>
          <w:iCs w:val="0"/>
          <w:szCs w:val="22"/>
          <w:lang w:val="es-MX" w:eastAsia="en-US"/>
        </w:rPr>
        <w:t>Notas al estado de variación en la hacienda pública</w:t>
      </w:r>
    </w:p>
    <w:p w14:paraId="6D9E8E97" w14:textId="77777777" w:rsidR="007643EF" w:rsidRPr="007643EF" w:rsidRDefault="007643EF" w:rsidP="007643EF">
      <w:pPr>
        <w:jc w:val="both"/>
        <w:outlineLvl w:val="0"/>
        <w:rPr>
          <w:iCs w:val="0"/>
          <w:lang w:val="es-MX" w:eastAsia="en-US"/>
        </w:rPr>
      </w:pPr>
    </w:p>
    <w:p w14:paraId="76D12BD1" w14:textId="77777777" w:rsidR="007643EF" w:rsidRPr="007643EF" w:rsidRDefault="007643EF" w:rsidP="007643EF">
      <w:pPr>
        <w:jc w:val="both"/>
        <w:outlineLvl w:val="0"/>
        <w:rPr>
          <w:iCs w:val="0"/>
          <w:lang w:val="es-MX" w:eastAsia="en-US"/>
        </w:rPr>
      </w:pPr>
      <w:r w:rsidRPr="007643EF">
        <w:rPr>
          <w:iCs w:val="0"/>
          <w:lang w:val="es-MX" w:eastAsia="en-US"/>
        </w:rPr>
        <w:t>La hacienda pública representa el importe de los bienes y derechos que son propiedad del Gobierno del estado de Chiapas, dicho importe es modificado principalmente por el resultado positivo obtenido al 31 de diciembre</w:t>
      </w:r>
      <w:r w:rsidRPr="007643EF">
        <w:rPr>
          <w:rFonts w:eastAsia="Calibri"/>
          <w:iCs w:val="0"/>
          <w:lang w:val="es-MX" w:eastAsia="en-US"/>
        </w:rPr>
        <w:t xml:space="preserve"> de 2023</w:t>
      </w:r>
      <w:r w:rsidRPr="007643EF">
        <w:rPr>
          <w:iCs w:val="0"/>
          <w:lang w:val="es-MX" w:eastAsia="en-US"/>
        </w:rPr>
        <w:t>, el cual asciende a 48 mil 626.1 millones de pesos. Las variaciones representan la disponibilidad para la continuidad de obras en proceso, de la misma manera, es afectado por el resultado derivado del registro de operaciones de ejercicios anteriores por reintegros, devoluciones, depuración y regularización de saldos, consumo de almacén, así como, gastos de fideicomisos no recuperables; a la fecha, la hacienda pública refleja un saldo de 56 mil 204.6 millones de pesos.</w:t>
      </w:r>
    </w:p>
    <w:p w14:paraId="518ADF98" w14:textId="77777777" w:rsidR="007643EF" w:rsidRPr="007643EF" w:rsidRDefault="007643EF" w:rsidP="007643EF">
      <w:pPr>
        <w:jc w:val="both"/>
        <w:outlineLvl w:val="0"/>
        <w:rPr>
          <w:iCs w:val="0"/>
          <w:lang w:val="es-MX" w:eastAsia="en-US"/>
        </w:rPr>
      </w:pPr>
    </w:p>
    <w:p w14:paraId="57B0AEFF" w14:textId="77777777" w:rsidR="007643EF" w:rsidRPr="007643EF" w:rsidRDefault="007643EF" w:rsidP="007643EF">
      <w:pPr>
        <w:jc w:val="both"/>
        <w:outlineLvl w:val="0"/>
        <w:rPr>
          <w:iCs w:val="0"/>
          <w:lang w:val="es-MX" w:eastAsia="en-US"/>
        </w:rPr>
      </w:pPr>
      <w:r w:rsidRPr="007643EF">
        <w:rPr>
          <w:iCs w:val="0"/>
          <w:lang w:val="es-MX" w:eastAsia="en-US"/>
        </w:rPr>
        <w:t>Así también, es modificado por el aumento o disminución al patrimonio, derivado del registro de los incrementos o decrementos realizados al patrimonio estatal. A la fecha que se informa la modificación neta positiva al patrimonio es de 5 mil 52.3 millones de pesos.</w:t>
      </w:r>
    </w:p>
    <w:p w14:paraId="3036523E" w14:textId="77777777" w:rsidR="007643EF" w:rsidRPr="007643EF" w:rsidRDefault="007643EF" w:rsidP="007643EF">
      <w:pPr>
        <w:jc w:val="both"/>
        <w:rPr>
          <w:b/>
          <w:bCs/>
          <w:iCs w:val="0"/>
          <w:caps/>
          <w:lang w:val="es-MX" w:eastAsia="en-US"/>
        </w:rPr>
      </w:pPr>
    </w:p>
    <w:p w14:paraId="2EFDD3B0"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Notas al estado de flujos de efectivo</w:t>
      </w:r>
    </w:p>
    <w:p w14:paraId="5AAEE57F" w14:textId="77777777" w:rsidR="007643EF" w:rsidRPr="007643EF" w:rsidRDefault="007643EF" w:rsidP="007643EF">
      <w:pPr>
        <w:jc w:val="both"/>
        <w:outlineLvl w:val="0"/>
        <w:rPr>
          <w:iCs w:val="0"/>
          <w:lang w:val="es-MX" w:eastAsia="en-US"/>
        </w:rPr>
      </w:pPr>
    </w:p>
    <w:p w14:paraId="02A71BD2" w14:textId="77777777" w:rsidR="007643EF" w:rsidRPr="007643EF" w:rsidRDefault="007643EF" w:rsidP="007643EF">
      <w:pPr>
        <w:tabs>
          <w:tab w:val="left" w:pos="6840"/>
        </w:tabs>
        <w:jc w:val="both"/>
        <w:outlineLvl w:val="0"/>
        <w:rPr>
          <w:iCs w:val="0"/>
          <w:lang w:val="es-MX" w:eastAsia="en-US"/>
        </w:rPr>
      </w:pPr>
      <w:r w:rsidRPr="007643EF">
        <w:rPr>
          <w:iCs w:val="0"/>
          <w:lang w:val="es-MX" w:eastAsia="en-US"/>
        </w:rPr>
        <w:t>El estado de flujos de efectivo, muestra los flujos de efectivo del Gobierno del Estado, conformado por los elementos básicos: origen y aplicación de los recursos.</w:t>
      </w:r>
    </w:p>
    <w:p w14:paraId="5FE3033B" w14:textId="77777777" w:rsidR="007643EF" w:rsidRPr="007643EF" w:rsidRDefault="007643EF" w:rsidP="007643EF">
      <w:pPr>
        <w:tabs>
          <w:tab w:val="left" w:pos="6840"/>
        </w:tabs>
        <w:jc w:val="both"/>
        <w:outlineLvl w:val="0"/>
        <w:rPr>
          <w:iCs w:val="0"/>
          <w:lang w:val="es-MX" w:eastAsia="en-US"/>
        </w:rPr>
      </w:pPr>
    </w:p>
    <w:p w14:paraId="22FFD444" w14:textId="77777777" w:rsidR="007643EF" w:rsidRPr="007643EF" w:rsidRDefault="007643EF" w:rsidP="007643EF">
      <w:pPr>
        <w:tabs>
          <w:tab w:val="left" w:pos="6840"/>
        </w:tabs>
        <w:jc w:val="both"/>
        <w:outlineLvl w:val="0"/>
        <w:rPr>
          <w:iCs w:val="0"/>
          <w:lang w:val="es-MX" w:eastAsia="en-US"/>
        </w:rPr>
      </w:pPr>
      <w:r w:rsidRPr="007643EF">
        <w:rPr>
          <w:iCs w:val="0"/>
          <w:lang w:val="es-MX" w:eastAsia="en-US"/>
        </w:rPr>
        <w:t>El incremento neto en el efectivo y equivalentes al 31 de diciembre</w:t>
      </w:r>
      <w:r w:rsidRPr="007643EF">
        <w:rPr>
          <w:rFonts w:eastAsia="Calibri"/>
          <w:iCs w:val="0"/>
          <w:lang w:val="es-MX" w:eastAsia="en-US"/>
        </w:rPr>
        <w:t xml:space="preserve"> de 2023</w:t>
      </w:r>
      <w:r w:rsidRPr="007643EF">
        <w:rPr>
          <w:iCs w:val="0"/>
          <w:lang w:val="es-MX" w:eastAsia="en-US"/>
        </w:rPr>
        <w:t>, tiene un saldo de 2 mil 430.2 millones de pesos.</w:t>
      </w:r>
    </w:p>
    <w:p w14:paraId="613320A3"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Flujo de efectivo de las actividades de operación</w:t>
      </w:r>
    </w:p>
    <w:p w14:paraId="0177F1D9" w14:textId="77777777" w:rsidR="007643EF" w:rsidRPr="007643EF" w:rsidRDefault="007643EF" w:rsidP="007643EF">
      <w:pPr>
        <w:tabs>
          <w:tab w:val="left" w:pos="6840"/>
        </w:tabs>
        <w:jc w:val="both"/>
        <w:outlineLvl w:val="0"/>
        <w:rPr>
          <w:iCs w:val="0"/>
          <w:lang w:val="es-MX" w:eastAsia="en-US"/>
        </w:rPr>
      </w:pPr>
    </w:p>
    <w:p w14:paraId="7185C322" w14:textId="77777777" w:rsidR="007643EF" w:rsidRPr="007643EF" w:rsidRDefault="007643EF" w:rsidP="007643EF">
      <w:pPr>
        <w:tabs>
          <w:tab w:val="left" w:pos="6840"/>
        </w:tabs>
        <w:jc w:val="both"/>
        <w:rPr>
          <w:iCs w:val="0"/>
          <w:lang w:val="es-MX" w:eastAsia="en-US"/>
        </w:rPr>
      </w:pPr>
      <w:r w:rsidRPr="007643EF">
        <w:rPr>
          <w:iCs w:val="0"/>
          <w:lang w:val="es-MX" w:eastAsia="en-US"/>
        </w:rPr>
        <w:t>Durante el periodo que se informa, el Gobierno Estatal presentó ingresos de gestión por la cantidad de 136 mil 885.2 millones de pesos. El gasto de funcionamiento devengado por el periodo comprendido del 1 de enero al 31 de diciembre</w:t>
      </w:r>
      <w:r w:rsidRPr="007643EF">
        <w:rPr>
          <w:rFonts w:eastAsia="Calibri"/>
          <w:iCs w:val="0"/>
          <w:lang w:val="es-MX" w:eastAsia="en-US"/>
        </w:rPr>
        <w:t xml:space="preserve"> de 2023</w:t>
      </w:r>
      <w:r w:rsidRPr="007643EF">
        <w:rPr>
          <w:iCs w:val="0"/>
          <w:lang w:val="es-MX" w:eastAsia="en-US"/>
        </w:rPr>
        <w:t xml:space="preserve">, asciende a 86 mil 683.0 millones de pesos, el cual representa un flujo neto positivo por actividades de operación por un importe de 50 mil 202.2 millones de pesos. </w:t>
      </w:r>
    </w:p>
    <w:p w14:paraId="339BDD20" w14:textId="77777777" w:rsidR="007643EF" w:rsidRPr="007643EF" w:rsidRDefault="007643EF" w:rsidP="007643EF">
      <w:pPr>
        <w:tabs>
          <w:tab w:val="left" w:pos="6840"/>
        </w:tabs>
        <w:jc w:val="both"/>
        <w:outlineLvl w:val="0"/>
        <w:rPr>
          <w:iCs w:val="0"/>
          <w:lang w:val="es-MX" w:eastAsia="en-US"/>
        </w:rPr>
      </w:pPr>
    </w:p>
    <w:p w14:paraId="7D7ED7AF"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Flujo de efectivo de las actividades de inversión</w:t>
      </w:r>
    </w:p>
    <w:p w14:paraId="06254439" w14:textId="77777777" w:rsidR="007643EF" w:rsidRPr="007643EF" w:rsidRDefault="007643EF" w:rsidP="007643EF">
      <w:pPr>
        <w:tabs>
          <w:tab w:val="left" w:pos="6840"/>
        </w:tabs>
        <w:jc w:val="both"/>
        <w:outlineLvl w:val="0"/>
        <w:rPr>
          <w:iCs w:val="0"/>
          <w:lang w:val="es-MX" w:eastAsia="en-US"/>
        </w:rPr>
      </w:pPr>
    </w:p>
    <w:p w14:paraId="5EB6E4B2" w14:textId="77777777" w:rsidR="007643EF" w:rsidRPr="007643EF" w:rsidRDefault="007643EF" w:rsidP="007643EF">
      <w:pPr>
        <w:tabs>
          <w:tab w:val="left" w:pos="6840"/>
        </w:tabs>
        <w:jc w:val="both"/>
        <w:rPr>
          <w:iCs w:val="0"/>
          <w:lang w:val="es-MX" w:eastAsia="en-US"/>
        </w:rPr>
      </w:pPr>
      <w:r w:rsidRPr="007643EF">
        <w:rPr>
          <w:iCs w:val="0"/>
          <w:lang w:val="es-MX" w:eastAsia="en-US"/>
        </w:rPr>
        <w:t>Durante el periodo que se informa, el Gobierno Estatal reflejó ingresos de inversión por la cantidad de 8 mil 971.8 millones de pesos. El gasto de inversión devengado por el periodo comprendido del 1 de enero al 31 de diciembre</w:t>
      </w:r>
      <w:r w:rsidRPr="007643EF">
        <w:rPr>
          <w:rFonts w:eastAsia="Calibri"/>
          <w:iCs w:val="0"/>
          <w:lang w:val="es-MX" w:eastAsia="en-US"/>
        </w:rPr>
        <w:t xml:space="preserve"> de 2023</w:t>
      </w:r>
      <w:r w:rsidRPr="007643EF">
        <w:rPr>
          <w:iCs w:val="0"/>
          <w:lang w:val="es-MX" w:eastAsia="en-US"/>
        </w:rPr>
        <w:t xml:space="preserve">, asciende a 55 mil 682.5 millones de pesos, el cual refleja un flujo neto a la baja por actividades de inversión por un importe de 46 mil 710.7 millones de pesos. </w:t>
      </w:r>
    </w:p>
    <w:p w14:paraId="29705E07" w14:textId="77777777" w:rsidR="007643EF" w:rsidRPr="007643EF" w:rsidRDefault="007643EF" w:rsidP="007643EF">
      <w:pPr>
        <w:tabs>
          <w:tab w:val="left" w:pos="6840"/>
        </w:tabs>
        <w:jc w:val="both"/>
        <w:rPr>
          <w:iCs w:val="0"/>
          <w:lang w:val="es-MX" w:eastAsia="en-US"/>
        </w:rPr>
      </w:pPr>
    </w:p>
    <w:p w14:paraId="56D3F275"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Flujo de efectivo de las actividades de financiamiento</w:t>
      </w:r>
    </w:p>
    <w:p w14:paraId="1C094A06" w14:textId="77777777" w:rsidR="007643EF" w:rsidRPr="007643EF" w:rsidRDefault="007643EF" w:rsidP="007643EF">
      <w:pPr>
        <w:tabs>
          <w:tab w:val="left" w:pos="6840"/>
        </w:tabs>
        <w:jc w:val="both"/>
        <w:outlineLvl w:val="0"/>
        <w:rPr>
          <w:iCs w:val="0"/>
          <w:lang w:val="es-MX" w:eastAsia="en-US"/>
        </w:rPr>
      </w:pPr>
    </w:p>
    <w:p w14:paraId="2B6981A7" w14:textId="77777777" w:rsidR="007643EF" w:rsidRPr="007643EF" w:rsidRDefault="007643EF" w:rsidP="007643EF">
      <w:pPr>
        <w:tabs>
          <w:tab w:val="left" w:pos="6840"/>
        </w:tabs>
        <w:jc w:val="both"/>
        <w:rPr>
          <w:iCs w:val="0"/>
          <w:lang w:val="es-MX" w:eastAsia="en-US"/>
        </w:rPr>
      </w:pPr>
      <w:r w:rsidRPr="007643EF">
        <w:rPr>
          <w:iCs w:val="0"/>
          <w:lang w:val="es-MX" w:eastAsia="en-US"/>
        </w:rPr>
        <w:t xml:space="preserve">Durante el periodo que se informa, el Gobierno Estatal reflejó actividades de </w:t>
      </w:r>
      <w:proofErr w:type="gramStart"/>
      <w:r w:rsidRPr="007643EF">
        <w:rPr>
          <w:iCs w:val="0"/>
          <w:lang w:val="es-MX" w:eastAsia="en-US"/>
        </w:rPr>
        <w:t>financiamiento  por</w:t>
      </w:r>
      <w:proofErr w:type="gramEnd"/>
      <w:r w:rsidRPr="007643EF">
        <w:rPr>
          <w:iCs w:val="0"/>
          <w:lang w:val="es-MX" w:eastAsia="en-US"/>
        </w:rPr>
        <w:t xml:space="preserve"> la cantidad de 876.9 millones de pesos. La aplicación por actividades de financiamiento por el periodo comprendido del 1 de enero al 31 de diciembre</w:t>
      </w:r>
      <w:r w:rsidRPr="007643EF">
        <w:rPr>
          <w:rFonts w:eastAsia="Calibri"/>
          <w:iCs w:val="0"/>
          <w:lang w:val="es-MX" w:eastAsia="en-US"/>
        </w:rPr>
        <w:t xml:space="preserve"> de 2023</w:t>
      </w:r>
      <w:r w:rsidRPr="007643EF">
        <w:rPr>
          <w:iCs w:val="0"/>
          <w:lang w:val="es-MX" w:eastAsia="en-US"/>
        </w:rPr>
        <w:t xml:space="preserve">, asciende a 1 mil 938.2 millones de pesos, el cual representa un flujo neto negativo por actividades de financiamiento por un importe de 1 mil 61.3 millones de pesos. </w:t>
      </w:r>
    </w:p>
    <w:p w14:paraId="099FA35C" w14:textId="77777777" w:rsidR="007643EF" w:rsidRPr="007643EF" w:rsidRDefault="007643EF" w:rsidP="007643EF">
      <w:pPr>
        <w:tabs>
          <w:tab w:val="left" w:pos="6840"/>
        </w:tabs>
        <w:jc w:val="both"/>
        <w:outlineLvl w:val="0"/>
        <w:rPr>
          <w:iCs w:val="0"/>
          <w:lang w:val="es-MX" w:eastAsia="en-US"/>
        </w:rPr>
      </w:pPr>
    </w:p>
    <w:p w14:paraId="4C4AC308"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Efectivo y equivalentes al efectivo al final del ejercicio</w:t>
      </w:r>
    </w:p>
    <w:p w14:paraId="6B28F61A" w14:textId="77777777" w:rsidR="007643EF" w:rsidRPr="007643EF" w:rsidRDefault="007643EF" w:rsidP="007643EF">
      <w:pPr>
        <w:tabs>
          <w:tab w:val="left" w:pos="6840"/>
        </w:tabs>
        <w:jc w:val="both"/>
        <w:outlineLvl w:val="0"/>
        <w:rPr>
          <w:iCs w:val="0"/>
          <w:lang w:val="es-MX" w:eastAsia="en-US"/>
        </w:rPr>
      </w:pPr>
    </w:p>
    <w:p w14:paraId="1D762860" w14:textId="77777777" w:rsidR="007643EF" w:rsidRPr="007643EF" w:rsidRDefault="007643EF" w:rsidP="007643EF">
      <w:pPr>
        <w:spacing w:line="100" w:lineRule="atLeast"/>
        <w:jc w:val="both"/>
        <w:rPr>
          <w:iCs w:val="0"/>
          <w:lang w:val="es-MX" w:eastAsia="en-US"/>
        </w:rPr>
      </w:pPr>
      <w:r w:rsidRPr="007643EF">
        <w:rPr>
          <w:iCs w:val="0"/>
          <w:lang w:val="es-MX" w:eastAsia="en-US"/>
        </w:rPr>
        <w:t>Las cifras del efectivo y equivalentes al efectivo, al final del ejercicio que figuran en la última parte del estado de flujos de efectivo del Gobierno del Estado es el siguiente:</w:t>
      </w:r>
    </w:p>
    <w:p w14:paraId="58F7B820" w14:textId="77777777" w:rsidR="007643EF" w:rsidRPr="007643EF" w:rsidRDefault="007643EF" w:rsidP="007643EF">
      <w:pPr>
        <w:spacing w:line="100" w:lineRule="atLeast"/>
        <w:jc w:val="both"/>
        <w:rPr>
          <w:iCs w:val="0"/>
          <w:lang w:val="es-MX" w:eastAsia="en-US"/>
        </w:rPr>
      </w:pPr>
    </w:p>
    <w:p w14:paraId="325F87E1" w14:textId="1C674596" w:rsidR="007643EF" w:rsidRPr="007643EF" w:rsidRDefault="007643EF" w:rsidP="007643EF">
      <w:pPr>
        <w:tabs>
          <w:tab w:val="left" w:pos="6840"/>
        </w:tabs>
        <w:jc w:val="center"/>
        <w:outlineLvl w:val="0"/>
        <w:rPr>
          <w:iCs w:val="0"/>
          <w:lang w:val="es-MX" w:eastAsia="en-US"/>
        </w:rPr>
      </w:pPr>
      <w:r w:rsidRPr="007643EF">
        <w:drawing>
          <wp:inline distT="0" distB="0" distL="0" distR="0" wp14:anchorId="08711F47" wp14:editId="0CC5D41E">
            <wp:extent cx="4152900" cy="134302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52900" cy="1343025"/>
                    </a:xfrm>
                    <a:prstGeom prst="rect">
                      <a:avLst/>
                    </a:prstGeom>
                    <a:noFill/>
                    <a:ln>
                      <a:noFill/>
                    </a:ln>
                  </pic:spPr>
                </pic:pic>
              </a:graphicData>
            </a:graphic>
          </wp:inline>
        </w:drawing>
      </w:r>
    </w:p>
    <w:p w14:paraId="15EC9DEE" w14:textId="77777777" w:rsidR="007643EF" w:rsidRPr="007643EF" w:rsidRDefault="007643EF" w:rsidP="007643EF">
      <w:pPr>
        <w:tabs>
          <w:tab w:val="left" w:pos="6840"/>
        </w:tabs>
        <w:jc w:val="both"/>
        <w:outlineLvl w:val="0"/>
        <w:rPr>
          <w:iCs w:val="0"/>
          <w:lang w:val="es-MX" w:eastAsia="en-US"/>
        </w:rPr>
      </w:pPr>
    </w:p>
    <w:p w14:paraId="3173691C" w14:textId="77777777" w:rsidR="007643EF" w:rsidRPr="007643EF" w:rsidRDefault="007643EF" w:rsidP="007643EF">
      <w:pPr>
        <w:tabs>
          <w:tab w:val="left" w:pos="6840"/>
        </w:tabs>
        <w:jc w:val="both"/>
        <w:outlineLvl w:val="0"/>
        <w:rPr>
          <w:iCs w:val="0"/>
          <w:lang w:val="es-MX" w:eastAsia="en-US"/>
        </w:rPr>
      </w:pPr>
    </w:p>
    <w:p w14:paraId="3394331C"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Efectivo y equivalentes</w:t>
      </w:r>
    </w:p>
    <w:p w14:paraId="57798E24" w14:textId="77777777" w:rsidR="007643EF" w:rsidRPr="007643EF" w:rsidRDefault="007643EF" w:rsidP="007643EF">
      <w:pPr>
        <w:spacing w:line="100" w:lineRule="atLeast"/>
        <w:jc w:val="both"/>
        <w:rPr>
          <w:iCs w:val="0"/>
          <w:lang w:val="es-MX" w:eastAsia="en-US"/>
        </w:rPr>
      </w:pPr>
    </w:p>
    <w:p w14:paraId="6D4ED42A" w14:textId="77777777" w:rsidR="007643EF" w:rsidRPr="007643EF" w:rsidRDefault="007643EF" w:rsidP="007643EF">
      <w:pPr>
        <w:spacing w:line="100" w:lineRule="atLeast"/>
        <w:jc w:val="both"/>
        <w:rPr>
          <w:iCs w:val="0"/>
          <w:lang w:val="es-MX" w:eastAsia="en-US"/>
        </w:rPr>
      </w:pPr>
      <w:r w:rsidRPr="007643EF">
        <w:rPr>
          <w:iCs w:val="0"/>
          <w:lang w:val="es-MX" w:eastAsia="en-US"/>
        </w:rPr>
        <w:t>El análisis de los saldos inicial y final del efectivo y equivalentes al efectivo, al final del ejercicio del estado de flujos de efectivo, respecto a la composición del rubro de efectivo y equivalentes es como sigue:</w:t>
      </w:r>
    </w:p>
    <w:p w14:paraId="042E4E57" w14:textId="77777777" w:rsidR="007643EF" w:rsidRPr="007643EF" w:rsidRDefault="007643EF" w:rsidP="007643EF">
      <w:pPr>
        <w:tabs>
          <w:tab w:val="left" w:pos="6840"/>
        </w:tabs>
        <w:jc w:val="both"/>
        <w:outlineLvl w:val="0"/>
        <w:rPr>
          <w:iCs w:val="0"/>
          <w:lang w:val="es-MX" w:eastAsia="en-US"/>
        </w:rPr>
      </w:pPr>
    </w:p>
    <w:p w14:paraId="7F80157A" w14:textId="35A029F5" w:rsidR="007643EF" w:rsidRPr="007643EF" w:rsidRDefault="007643EF" w:rsidP="007643EF">
      <w:pPr>
        <w:tabs>
          <w:tab w:val="left" w:pos="6840"/>
        </w:tabs>
        <w:jc w:val="center"/>
        <w:outlineLvl w:val="0"/>
        <w:rPr>
          <w:iCs w:val="0"/>
          <w:lang w:val="es-MX" w:eastAsia="en-US"/>
        </w:rPr>
      </w:pPr>
      <w:r w:rsidRPr="007643EF">
        <w:drawing>
          <wp:inline distT="0" distB="0" distL="0" distR="0" wp14:anchorId="78A48AF0" wp14:editId="4F100BC3">
            <wp:extent cx="5848350" cy="24765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8350" cy="2476500"/>
                    </a:xfrm>
                    <a:prstGeom prst="rect">
                      <a:avLst/>
                    </a:prstGeom>
                    <a:noFill/>
                    <a:ln>
                      <a:noFill/>
                    </a:ln>
                  </pic:spPr>
                </pic:pic>
              </a:graphicData>
            </a:graphic>
          </wp:inline>
        </w:drawing>
      </w:r>
    </w:p>
    <w:p w14:paraId="0274C952"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Adquisiciones de las actividades de inversión efectivamente pagadas</w:t>
      </w:r>
    </w:p>
    <w:p w14:paraId="555BF560" w14:textId="77777777" w:rsidR="007643EF" w:rsidRPr="007643EF" w:rsidRDefault="007643EF" w:rsidP="007643EF">
      <w:pPr>
        <w:spacing w:line="100" w:lineRule="atLeast"/>
        <w:jc w:val="both"/>
        <w:rPr>
          <w:iCs w:val="0"/>
          <w:lang w:val="es-MX" w:eastAsia="en-US"/>
        </w:rPr>
      </w:pPr>
    </w:p>
    <w:p w14:paraId="43E1529F" w14:textId="77777777" w:rsidR="007643EF" w:rsidRPr="007643EF" w:rsidRDefault="007643EF" w:rsidP="007643EF">
      <w:pPr>
        <w:spacing w:line="100" w:lineRule="atLeast"/>
        <w:jc w:val="both"/>
        <w:rPr>
          <w:iCs w:val="0"/>
          <w:lang w:val="es-MX" w:eastAsia="en-US"/>
        </w:rPr>
      </w:pPr>
      <w:r w:rsidRPr="007643EF">
        <w:rPr>
          <w:iCs w:val="0"/>
          <w:lang w:val="es-MX" w:eastAsia="en-US"/>
        </w:rPr>
        <w:t>Al 31 de diciembre de 2023, se realizaron adquisiciones de las actividades de inversión efectivamente pagadas, respecto del apartado de aplicación, mismas que a continuación de describen:</w:t>
      </w:r>
    </w:p>
    <w:p w14:paraId="362B7A13" w14:textId="77777777" w:rsidR="007643EF" w:rsidRPr="007643EF" w:rsidRDefault="007643EF" w:rsidP="007643EF">
      <w:pPr>
        <w:spacing w:line="100" w:lineRule="atLeast"/>
        <w:jc w:val="both"/>
        <w:rPr>
          <w:iCs w:val="0"/>
          <w:lang w:val="es-MX" w:eastAsia="en-US"/>
        </w:rPr>
      </w:pPr>
    </w:p>
    <w:p w14:paraId="3CF6FC5A" w14:textId="1FE82058" w:rsidR="007643EF" w:rsidRPr="007643EF" w:rsidRDefault="007643EF" w:rsidP="007643EF">
      <w:pPr>
        <w:spacing w:line="100" w:lineRule="atLeast"/>
        <w:jc w:val="center"/>
        <w:rPr>
          <w:iCs w:val="0"/>
          <w:lang w:val="es-MX" w:eastAsia="en-US"/>
        </w:rPr>
      </w:pPr>
      <w:r w:rsidRPr="007643EF">
        <w:drawing>
          <wp:inline distT="0" distB="0" distL="0" distR="0" wp14:anchorId="05D2CC1E" wp14:editId="6A7D04EC">
            <wp:extent cx="6448425" cy="4533900"/>
            <wp:effectExtent l="0" t="0" r="952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48425" cy="4533900"/>
                    </a:xfrm>
                    <a:prstGeom prst="rect">
                      <a:avLst/>
                    </a:prstGeom>
                    <a:noFill/>
                    <a:ln>
                      <a:noFill/>
                    </a:ln>
                  </pic:spPr>
                </pic:pic>
              </a:graphicData>
            </a:graphic>
          </wp:inline>
        </w:drawing>
      </w:r>
    </w:p>
    <w:p w14:paraId="6A3BCD2D" w14:textId="506B6A6D" w:rsidR="007643EF" w:rsidRDefault="007643EF" w:rsidP="007643EF">
      <w:pPr>
        <w:jc w:val="both"/>
        <w:rPr>
          <w:iCs w:val="0"/>
          <w:lang w:val="es-MX" w:eastAsia="en-US"/>
        </w:rPr>
      </w:pPr>
    </w:p>
    <w:p w14:paraId="43DEAC1E" w14:textId="77777777" w:rsidR="007643EF" w:rsidRPr="007643EF" w:rsidRDefault="007643EF" w:rsidP="007643EF">
      <w:pPr>
        <w:jc w:val="both"/>
        <w:rPr>
          <w:iCs w:val="0"/>
          <w:lang w:val="es-MX" w:eastAsia="en-US"/>
        </w:rPr>
      </w:pPr>
    </w:p>
    <w:p w14:paraId="133B384D"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Conciliación de flujos de efectivo netos</w:t>
      </w:r>
    </w:p>
    <w:p w14:paraId="61EBAC99" w14:textId="77777777" w:rsidR="007643EF" w:rsidRPr="007643EF" w:rsidRDefault="007643EF" w:rsidP="007643EF">
      <w:pPr>
        <w:jc w:val="both"/>
        <w:rPr>
          <w:iCs w:val="0"/>
          <w:lang w:val="es-MX" w:eastAsia="en-US"/>
        </w:rPr>
      </w:pPr>
    </w:p>
    <w:p w14:paraId="2949667D" w14:textId="77777777" w:rsidR="007643EF" w:rsidRPr="007643EF" w:rsidRDefault="007643EF" w:rsidP="007643EF">
      <w:pPr>
        <w:jc w:val="both"/>
        <w:rPr>
          <w:iCs w:val="0"/>
          <w:lang w:val="es-MX" w:eastAsia="en-US"/>
        </w:rPr>
      </w:pPr>
      <w:r w:rsidRPr="007643EF">
        <w:rPr>
          <w:iCs w:val="0"/>
          <w:lang w:val="es-MX" w:eastAsia="en-US"/>
        </w:rPr>
        <w:t>A continuación, se presenta la conciliación de los flujos de efectivo netos de las actividades de operación y saldos de resultados del ejercicio (ahorro/desahorro):</w:t>
      </w:r>
    </w:p>
    <w:p w14:paraId="7FED9B61" w14:textId="77777777" w:rsidR="007643EF" w:rsidRPr="007643EF" w:rsidRDefault="007643EF" w:rsidP="007643EF">
      <w:pPr>
        <w:jc w:val="both"/>
        <w:rPr>
          <w:iCs w:val="0"/>
          <w:lang w:val="es-MX" w:eastAsia="en-US"/>
        </w:rPr>
      </w:pPr>
    </w:p>
    <w:p w14:paraId="596ECD80" w14:textId="2DAD560F" w:rsidR="007643EF" w:rsidRPr="007643EF" w:rsidRDefault="007643EF" w:rsidP="007643EF">
      <w:pPr>
        <w:jc w:val="center"/>
        <w:rPr>
          <w:iCs w:val="0"/>
          <w:lang w:val="es-MX" w:eastAsia="en-US"/>
        </w:rPr>
      </w:pPr>
      <w:r w:rsidRPr="007643EF">
        <w:drawing>
          <wp:inline distT="0" distB="0" distL="0" distR="0" wp14:anchorId="2C1EC83A" wp14:editId="35C3A568">
            <wp:extent cx="6257925" cy="2314575"/>
            <wp:effectExtent l="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7925" cy="2314575"/>
                    </a:xfrm>
                    <a:prstGeom prst="rect">
                      <a:avLst/>
                    </a:prstGeom>
                    <a:noFill/>
                    <a:ln>
                      <a:noFill/>
                    </a:ln>
                  </pic:spPr>
                </pic:pic>
              </a:graphicData>
            </a:graphic>
          </wp:inline>
        </w:drawing>
      </w:r>
    </w:p>
    <w:p w14:paraId="30D1666E"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Conciliación entre los ingresos presupuestarios y contables, así como entre los egresos presupuestarios y los gastos contables</w:t>
      </w:r>
    </w:p>
    <w:p w14:paraId="6C536A17" w14:textId="77777777" w:rsidR="007643EF" w:rsidRPr="007643EF" w:rsidRDefault="007643EF" w:rsidP="007643EF">
      <w:pPr>
        <w:jc w:val="both"/>
        <w:rPr>
          <w:iCs w:val="0"/>
          <w:lang w:val="es-MX" w:eastAsia="en-US"/>
        </w:rPr>
      </w:pPr>
    </w:p>
    <w:p w14:paraId="5719F648" w14:textId="77777777" w:rsidR="007643EF" w:rsidRPr="007643EF" w:rsidRDefault="007643EF" w:rsidP="007643EF">
      <w:pPr>
        <w:jc w:val="both"/>
        <w:rPr>
          <w:iCs w:val="0"/>
          <w:lang w:val="es-MX" w:eastAsia="en-US"/>
        </w:rPr>
      </w:pPr>
      <w:r w:rsidRPr="007643EF">
        <w:rPr>
          <w:iCs w:val="0"/>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Gobierno Estatal, correspondiente del 1 de enero al 31 de diciembre</w:t>
      </w:r>
      <w:r w:rsidRPr="007643EF">
        <w:rPr>
          <w:rFonts w:eastAsia="Calibri"/>
          <w:iCs w:val="0"/>
          <w:lang w:val="es-MX" w:eastAsia="en-US"/>
        </w:rPr>
        <w:t xml:space="preserve"> de 2023</w:t>
      </w:r>
      <w:r w:rsidRPr="007643EF">
        <w:rPr>
          <w:iCs w:val="0"/>
          <w:lang w:val="es-MX" w:eastAsia="en-US"/>
        </w:rPr>
        <w:t>:</w:t>
      </w:r>
    </w:p>
    <w:p w14:paraId="1A0A00CD" w14:textId="77777777" w:rsidR="007643EF" w:rsidRPr="007643EF" w:rsidRDefault="007643EF" w:rsidP="007643EF">
      <w:pPr>
        <w:jc w:val="both"/>
        <w:rPr>
          <w:iCs w:val="0"/>
          <w:lang w:val="es-MX" w:eastAsia="en-US"/>
        </w:rPr>
      </w:pPr>
    </w:p>
    <w:p w14:paraId="0CCD6762" w14:textId="4BB92D9A" w:rsidR="007643EF" w:rsidRPr="007643EF" w:rsidRDefault="007643EF" w:rsidP="007643EF">
      <w:pPr>
        <w:jc w:val="both"/>
        <w:outlineLvl w:val="0"/>
        <w:rPr>
          <w:iCs w:val="0"/>
          <w:lang w:val="es-MX" w:eastAsia="en-US"/>
        </w:rPr>
      </w:pPr>
      <w:r w:rsidRPr="007643EF">
        <w:drawing>
          <wp:inline distT="0" distB="0" distL="0" distR="0" wp14:anchorId="1D3B8708" wp14:editId="18C153D1">
            <wp:extent cx="6686550" cy="37814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86550" cy="3781425"/>
                    </a:xfrm>
                    <a:prstGeom prst="rect">
                      <a:avLst/>
                    </a:prstGeom>
                    <a:noFill/>
                    <a:ln>
                      <a:noFill/>
                    </a:ln>
                  </pic:spPr>
                </pic:pic>
              </a:graphicData>
            </a:graphic>
          </wp:inline>
        </w:drawing>
      </w:r>
    </w:p>
    <w:p w14:paraId="3F03C2D7" w14:textId="6EEC1AD4" w:rsidR="007643EF" w:rsidRPr="007643EF" w:rsidRDefault="007643EF" w:rsidP="007643EF">
      <w:pPr>
        <w:jc w:val="both"/>
        <w:outlineLvl w:val="0"/>
        <w:rPr>
          <w:iCs w:val="0"/>
          <w:noProof/>
          <w:lang w:val="es-MX" w:eastAsia="en-US"/>
        </w:rPr>
      </w:pPr>
      <w:r w:rsidRPr="007643EF">
        <w:lastRenderedPageBreak/>
        <w:drawing>
          <wp:inline distT="0" distB="0" distL="0" distR="0" wp14:anchorId="2219D62F" wp14:editId="1395A51E">
            <wp:extent cx="6477000" cy="7058025"/>
            <wp:effectExtent l="0" t="0" r="0"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77000" cy="7058025"/>
                    </a:xfrm>
                    <a:prstGeom prst="rect">
                      <a:avLst/>
                    </a:prstGeom>
                    <a:noFill/>
                    <a:ln>
                      <a:noFill/>
                    </a:ln>
                  </pic:spPr>
                </pic:pic>
              </a:graphicData>
            </a:graphic>
          </wp:inline>
        </w:drawing>
      </w:r>
    </w:p>
    <w:p w14:paraId="0E567A57" w14:textId="77777777" w:rsidR="007643EF" w:rsidRPr="007643EF" w:rsidRDefault="007643EF" w:rsidP="007643EF">
      <w:pPr>
        <w:jc w:val="both"/>
        <w:outlineLvl w:val="0"/>
        <w:rPr>
          <w:iCs w:val="0"/>
          <w:lang w:val="es-MX" w:eastAsia="en-US"/>
        </w:rPr>
      </w:pPr>
    </w:p>
    <w:p w14:paraId="26A012FB" w14:textId="77777777" w:rsidR="007643EF" w:rsidRPr="007643EF" w:rsidRDefault="007643EF" w:rsidP="007643EF">
      <w:pPr>
        <w:jc w:val="both"/>
        <w:outlineLvl w:val="0"/>
        <w:rPr>
          <w:iCs w:val="0"/>
          <w:lang w:val="es-MX" w:eastAsia="en-US"/>
        </w:rPr>
      </w:pPr>
    </w:p>
    <w:bookmarkEnd w:id="1"/>
    <w:p w14:paraId="6604E393" w14:textId="77777777" w:rsidR="007643EF" w:rsidRPr="007643EF" w:rsidRDefault="007643EF" w:rsidP="007643EF">
      <w:pPr>
        <w:jc w:val="both"/>
        <w:rPr>
          <w:b/>
          <w:bCs/>
          <w:iCs w:val="0"/>
          <w:sz w:val="24"/>
          <w:szCs w:val="24"/>
        </w:rPr>
      </w:pPr>
      <w:r w:rsidRPr="007643EF">
        <w:rPr>
          <w:b/>
          <w:bCs/>
          <w:iCs w:val="0"/>
          <w:sz w:val="24"/>
          <w:szCs w:val="24"/>
        </w:rPr>
        <w:t>Notas de memoria (cuentas de orden)</w:t>
      </w:r>
    </w:p>
    <w:p w14:paraId="649B67AD" w14:textId="77777777" w:rsidR="007643EF" w:rsidRPr="007643EF" w:rsidRDefault="007643EF" w:rsidP="007643EF">
      <w:pPr>
        <w:jc w:val="both"/>
        <w:outlineLvl w:val="0"/>
        <w:rPr>
          <w:rFonts w:eastAsia="Calibri"/>
          <w:bCs/>
          <w:iCs w:val="0"/>
          <w:lang w:val="es-MX" w:eastAsia="en-US"/>
        </w:rPr>
      </w:pPr>
    </w:p>
    <w:p w14:paraId="38E5398E" w14:textId="77777777" w:rsidR="007643EF" w:rsidRPr="007643EF" w:rsidRDefault="007643EF" w:rsidP="007643EF">
      <w:pPr>
        <w:jc w:val="both"/>
        <w:outlineLvl w:val="0"/>
        <w:rPr>
          <w:rFonts w:eastAsia="Calibri"/>
          <w:bCs/>
          <w:iCs w:val="0"/>
          <w:lang w:val="es-MX" w:eastAsia="en-US"/>
        </w:rPr>
      </w:pPr>
      <w:r w:rsidRPr="007643EF">
        <w:rPr>
          <w:rFonts w:eastAsia="Calibri"/>
          <w:bCs/>
          <w:iCs w:val="0"/>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4CDDD108" w14:textId="77777777" w:rsidR="007643EF" w:rsidRPr="007643EF" w:rsidRDefault="007643EF" w:rsidP="007643EF">
      <w:pPr>
        <w:jc w:val="both"/>
        <w:outlineLvl w:val="0"/>
        <w:rPr>
          <w:rFonts w:eastAsia="Calibri"/>
          <w:bCs/>
          <w:iCs w:val="0"/>
          <w:lang w:val="es-MX" w:eastAsia="en-US"/>
        </w:rPr>
      </w:pPr>
    </w:p>
    <w:p w14:paraId="74A8EE94" w14:textId="77777777" w:rsidR="007643EF" w:rsidRPr="007643EF" w:rsidRDefault="007643EF" w:rsidP="007643EF">
      <w:pPr>
        <w:jc w:val="both"/>
        <w:outlineLvl w:val="0"/>
        <w:rPr>
          <w:rFonts w:eastAsia="Calibri"/>
          <w:bCs/>
          <w:iCs w:val="0"/>
          <w:lang w:val="es-MX" w:eastAsia="en-US"/>
        </w:rPr>
      </w:pPr>
      <w:r w:rsidRPr="007643EF">
        <w:rPr>
          <w:rFonts w:eastAsia="Calibri"/>
          <w:bCs/>
          <w:iCs w:val="0"/>
          <w:lang w:val="es-MX" w:eastAsia="en-US"/>
        </w:rPr>
        <w:t xml:space="preserve">Las notas de memoria, representan los movimientos de valores que no afecten o modifiquen el balance del Gobierno Estatal, sin embargo, su incorporación en libros es necesaria con fines de recordatorio contable, de control y en general </w:t>
      </w:r>
      <w:r w:rsidRPr="007643EF">
        <w:rPr>
          <w:rFonts w:eastAsia="Calibri"/>
          <w:bCs/>
          <w:iCs w:val="0"/>
          <w:lang w:val="es-MX" w:eastAsia="en-US"/>
        </w:rPr>
        <w:lastRenderedPageBreak/>
        <w:t>sobre los aspectos administrativos, o bien, para consignar sus derechos o responsabilidades contingentes que puedan, o no, presentarse en el futuro.</w:t>
      </w:r>
    </w:p>
    <w:p w14:paraId="0FD59955" w14:textId="77777777" w:rsidR="007643EF" w:rsidRPr="007643EF" w:rsidRDefault="007643EF" w:rsidP="007643EF">
      <w:pPr>
        <w:jc w:val="both"/>
        <w:outlineLvl w:val="0"/>
        <w:rPr>
          <w:rFonts w:eastAsia="Calibri"/>
          <w:b/>
          <w:bCs/>
          <w:iCs w:val="0"/>
          <w:lang w:val="es-MX" w:eastAsia="en-US"/>
        </w:rPr>
      </w:pPr>
    </w:p>
    <w:p w14:paraId="10680535" w14:textId="77777777" w:rsidR="007643EF" w:rsidRPr="007643EF" w:rsidRDefault="007643EF" w:rsidP="007643EF">
      <w:pPr>
        <w:numPr>
          <w:ilvl w:val="1"/>
          <w:numId w:val="0"/>
        </w:numPr>
        <w:jc w:val="both"/>
        <w:rPr>
          <w:rFonts w:cs="Times New Roman"/>
          <w:b/>
          <w:iCs w:val="0"/>
          <w:szCs w:val="22"/>
          <w:lang w:val="es-MX" w:eastAsia="en-US"/>
        </w:rPr>
      </w:pPr>
      <w:bookmarkStart w:id="2" w:name="_Hlk129620465"/>
      <w:r w:rsidRPr="007643EF">
        <w:rPr>
          <w:rFonts w:cs="Times New Roman"/>
          <w:b/>
          <w:iCs w:val="0"/>
          <w:szCs w:val="22"/>
          <w:lang w:val="es-MX" w:eastAsia="en-US"/>
        </w:rPr>
        <w:t>Cuentas de orden contables</w:t>
      </w:r>
    </w:p>
    <w:bookmarkEnd w:id="2"/>
    <w:p w14:paraId="019C85FE" w14:textId="77777777" w:rsidR="007643EF" w:rsidRPr="007643EF" w:rsidRDefault="007643EF" w:rsidP="007643EF">
      <w:pPr>
        <w:jc w:val="both"/>
        <w:outlineLvl w:val="0"/>
        <w:rPr>
          <w:rFonts w:eastAsia="Calibri"/>
          <w:b/>
          <w:bCs/>
          <w:iCs w:val="0"/>
          <w:lang w:val="es-MX" w:eastAsia="en-US"/>
        </w:rPr>
      </w:pPr>
    </w:p>
    <w:p w14:paraId="6CCD1C8A"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 xml:space="preserve">Emisión de obligaciones </w:t>
      </w:r>
    </w:p>
    <w:p w14:paraId="13CCCDFA" w14:textId="77777777" w:rsidR="007643EF" w:rsidRPr="007643EF" w:rsidRDefault="007643EF" w:rsidP="007643EF">
      <w:pPr>
        <w:autoSpaceDE w:val="0"/>
        <w:autoSpaceDN w:val="0"/>
        <w:adjustRightInd w:val="0"/>
        <w:jc w:val="both"/>
        <w:rPr>
          <w:rFonts w:eastAsia="Calibri"/>
          <w:iCs w:val="0"/>
          <w:lang w:val="es-MX" w:eastAsia="en-US"/>
        </w:rPr>
      </w:pPr>
    </w:p>
    <w:p w14:paraId="3306A7CB" w14:textId="77777777" w:rsidR="007643EF" w:rsidRPr="007643EF" w:rsidRDefault="007643EF" w:rsidP="007643EF">
      <w:pPr>
        <w:autoSpaceDE w:val="0"/>
        <w:autoSpaceDN w:val="0"/>
        <w:adjustRightInd w:val="0"/>
        <w:jc w:val="both"/>
        <w:rPr>
          <w:rFonts w:eastAsia="Calibri"/>
          <w:iCs w:val="0"/>
          <w:lang w:val="es-MX" w:eastAsia="en-US"/>
        </w:rPr>
      </w:pPr>
      <w:r w:rsidRPr="007643EF">
        <w:rPr>
          <w:rFonts w:eastAsia="Calibri"/>
          <w:iCs w:val="0"/>
          <w:lang w:val="es-MX" w:eastAsia="en-US"/>
        </w:rPr>
        <w:t xml:space="preserve">Al 31 de diciembre de 2023, los registros originados por la colocación de certificados bursátiles derivado de la bursatilización del Impuesto Sobre Nóminas reflejan un importe de 6 mil 680.6 millones de pesos, dicho importe se integra por la inversión inicial, y el registro derivado del efecto inflacionario en el valor de las </w:t>
      </w:r>
      <w:proofErr w:type="spellStart"/>
      <w:r w:rsidRPr="007643EF">
        <w:rPr>
          <w:rFonts w:eastAsia="Calibri"/>
          <w:iCs w:val="0"/>
          <w:lang w:val="es-MX" w:eastAsia="en-US"/>
        </w:rPr>
        <w:t>UDI`s</w:t>
      </w:r>
      <w:proofErr w:type="spellEnd"/>
      <w:r w:rsidRPr="007643EF">
        <w:rPr>
          <w:rFonts w:eastAsia="Calibri"/>
          <w:iCs w:val="0"/>
          <w:lang w:val="es-MX" w:eastAsia="en-US"/>
        </w:rPr>
        <w:t>.</w:t>
      </w:r>
    </w:p>
    <w:p w14:paraId="215FE486" w14:textId="77777777" w:rsidR="007643EF" w:rsidRPr="007643EF" w:rsidRDefault="007643EF" w:rsidP="007643EF">
      <w:pPr>
        <w:autoSpaceDE w:val="0"/>
        <w:autoSpaceDN w:val="0"/>
        <w:adjustRightInd w:val="0"/>
        <w:jc w:val="both"/>
        <w:rPr>
          <w:rFonts w:eastAsia="Calibri"/>
          <w:iCs w:val="0"/>
          <w:lang w:val="es-MX" w:eastAsia="en-US"/>
        </w:rPr>
      </w:pPr>
    </w:p>
    <w:p w14:paraId="76CEB0FC" w14:textId="37CC8D5F" w:rsidR="007643EF" w:rsidRPr="007643EF" w:rsidRDefault="007643EF" w:rsidP="007643EF">
      <w:pPr>
        <w:jc w:val="both"/>
        <w:rPr>
          <w:rFonts w:eastAsia="Calibri"/>
          <w:b/>
          <w:bCs/>
          <w:lang w:val="es-MX" w:eastAsia="en-US"/>
        </w:rPr>
      </w:pPr>
      <w:r w:rsidRPr="007643EF">
        <w:rPr>
          <w:rFonts w:eastAsia="Calibri"/>
        </w:rPr>
        <w:drawing>
          <wp:inline distT="0" distB="0" distL="0" distR="0" wp14:anchorId="735B9775" wp14:editId="290B7677">
            <wp:extent cx="6638925" cy="2028825"/>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38925" cy="2028825"/>
                    </a:xfrm>
                    <a:prstGeom prst="rect">
                      <a:avLst/>
                    </a:prstGeom>
                    <a:noFill/>
                    <a:ln>
                      <a:noFill/>
                    </a:ln>
                  </pic:spPr>
                </pic:pic>
              </a:graphicData>
            </a:graphic>
          </wp:inline>
        </w:drawing>
      </w:r>
    </w:p>
    <w:p w14:paraId="7268983F" w14:textId="77777777" w:rsidR="007643EF" w:rsidRPr="007643EF" w:rsidRDefault="007643EF" w:rsidP="007643EF">
      <w:pPr>
        <w:jc w:val="both"/>
        <w:rPr>
          <w:rFonts w:eastAsia="Calibri"/>
          <w:b/>
          <w:bCs/>
          <w:iCs w:val="0"/>
          <w:caps/>
          <w:lang w:val="es-MX" w:eastAsia="en-US"/>
        </w:rPr>
      </w:pPr>
    </w:p>
    <w:p w14:paraId="31A5ADE3" w14:textId="77777777" w:rsidR="007643EF" w:rsidRPr="007643EF" w:rsidRDefault="007643EF" w:rsidP="007643EF">
      <w:pPr>
        <w:jc w:val="both"/>
        <w:rPr>
          <w:rFonts w:eastAsia="Calibri"/>
          <w:b/>
          <w:bCs/>
          <w:iCs w:val="0"/>
          <w:caps/>
          <w:lang w:val="es-MX" w:eastAsia="en-US"/>
        </w:rPr>
      </w:pPr>
    </w:p>
    <w:p w14:paraId="3C0CA0D3"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Cuentas de orden presupuestario</w:t>
      </w:r>
    </w:p>
    <w:p w14:paraId="4B82A3CE" w14:textId="77777777" w:rsidR="007643EF" w:rsidRPr="007643EF" w:rsidRDefault="007643EF" w:rsidP="007643EF">
      <w:pPr>
        <w:jc w:val="both"/>
        <w:outlineLvl w:val="0"/>
        <w:rPr>
          <w:b/>
          <w:bCs/>
          <w:i/>
          <w:lang w:val="es-MX" w:eastAsia="en-US"/>
        </w:rPr>
      </w:pPr>
    </w:p>
    <w:p w14:paraId="6DD2F7EA"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Cuentas de ingresos</w:t>
      </w:r>
    </w:p>
    <w:p w14:paraId="517DC34B" w14:textId="77777777" w:rsidR="007643EF" w:rsidRPr="007643EF" w:rsidRDefault="007643EF" w:rsidP="007643EF">
      <w:pPr>
        <w:jc w:val="both"/>
        <w:outlineLvl w:val="0"/>
        <w:rPr>
          <w:rFonts w:eastAsia="Calibri"/>
          <w:iCs w:val="0"/>
          <w:lang w:val="es-MX" w:eastAsia="en-US"/>
        </w:rPr>
      </w:pPr>
    </w:p>
    <w:p w14:paraId="60B9F4AD"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Al inicio del ejercicio 2023, se aprobó un presupuesto de ingresos de 112 mil 32.4 millones de pesos, sin embargo, las estrategias implementadas para obtener mayores recursos, lograron un incremento de 24 mil 852.4 millones de pesos al presupuesto estimado para el periodo que se informa.</w:t>
      </w:r>
    </w:p>
    <w:p w14:paraId="58EC8848" w14:textId="77777777" w:rsidR="007643EF" w:rsidRPr="007643EF" w:rsidRDefault="007643EF" w:rsidP="007643EF">
      <w:pPr>
        <w:jc w:val="both"/>
        <w:outlineLvl w:val="0"/>
        <w:rPr>
          <w:rFonts w:eastAsia="Calibri"/>
          <w:b/>
          <w:bCs/>
          <w:iCs w:val="0"/>
          <w:lang w:val="es-MX" w:eastAsia="en-US"/>
        </w:rPr>
      </w:pPr>
    </w:p>
    <w:p w14:paraId="05352088"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 xml:space="preserve">Los ingresos recaudados durante el periodo del 1 de enero al 31 de diciembre de 2023, ascendieron a la cantidad de 136 mil 884.8 millones de pesos, representando el 22.2 % mayor, respecto al programado para el periodo que se informa. </w:t>
      </w:r>
    </w:p>
    <w:p w14:paraId="622DA3DF" w14:textId="77777777" w:rsidR="007643EF" w:rsidRPr="007643EF" w:rsidRDefault="007643EF" w:rsidP="007643EF">
      <w:pPr>
        <w:jc w:val="both"/>
        <w:outlineLvl w:val="0"/>
        <w:rPr>
          <w:rFonts w:eastAsia="Calibri"/>
          <w:iCs w:val="0"/>
          <w:lang w:val="es-MX" w:eastAsia="en-US"/>
        </w:rPr>
      </w:pPr>
    </w:p>
    <w:p w14:paraId="0BF49122"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Los ingresos derivados de recursos provenientes del Gobierno Federal, representó el 87.6 % del total de los ingresos recaudados, con un importe de 119 mil 876.4 millones de pesos, integrándose de 108 mil 298.7 millones de pesos por participaciones, aportaciones, convenios, incentivos derivados de la colaboración fiscal y fondos distintos de aportaciones, y de 11 mil 577.7 millones de pesos por concepto de transferencias, asignaciones, subsidios y subvenciones, y pensiones y jubilaciones.</w:t>
      </w:r>
    </w:p>
    <w:p w14:paraId="40708724" w14:textId="77777777" w:rsidR="007643EF" w:rsidRPr="007643EF" w:rsidRDefault="007643EF" w:rsidP="007643EF">
      <w:pPr>
        <w:jc w:val="both"/>
        <w:outlineLvl w:val="0"/>
        <w:rPr>
          <w:rFonts w:eastAsia="Calibri"/>
          <w:iCs w:val="0"/>
          <w:lang w:val="es-MX" w:eastAsia="en-US"/>
        </w:rPr>
      </w:pPr>
    </w:p>
    <w:p w14:paraId="37FD35FD"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A continuación, se presenta el estado analítico de ingresos presupuestarios de acuerdo a la clasificación indicada en las notas de memoria de los estados financieros emitido por el CONAC.</w:t>
      </w:r>
    </w:p>
    <w:p w14:paraId="080CF073" w14:textId="77777777" w:rsidR="007643EF" w:rsidRPr="007643EF" w:rsidRDefault="007643EF" w:rsidP="007643EF">
      <w:pPr>
        <w:jc w:val="both"/>
        <w:outlineLvl w:val="0"/>
        <w:rPr>
          <w:rFonts w:eastAsia="Calibri"/>
          <w:iCs w:val="0"/>
          <w:lang w:val="es-MX" w:eastAsia="en-US"/>
        </w:rPr>
      </w:pPr>
    </w:p>
    <w:p w14:paraId="73710E77" w14:textId="4D2B2410" w:rsidR="007643EF" w:rsidRPr="007643EF" w:rsidRDefault="007643EF" w:rsidP="007643EF">
      <w:pPr>
        <w:jc w:val="both"/>
        <w:outlineLvl w:val="0"/>
        <w:rPr>
          <w:rFonts w:eastAsia="Calibri"/>
          <w:iCs w:val="0"/>
          <w:lang w:val="es-MX" w:eastAsia="en-US"/>
        </w:rPr>
      </w:pPr>
      <w:r w:rsidRPr="007643EF">
        <w:rPr>
          <w:rFonts w:eastAsia="Calibri"/>
        </w:rPr>
        <w:lastRenderedPageBreak/>
        <w:drawing>
          <wp:inline distT="0" distB="0" distL="0" distR="0" wp14:anchorId="34304FFC" wp14:editId="3BBA67AA">
            <wp:extent cx="6692900" cy="323278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900" cy="3232785"/>
                    </a:xfrm>
                    <a:prstGeom prst="rect">
                      <a:avLst/>
                    </a:prstGeom>
                    <a:noFill/>
                    <a:ln>
                      <a:noFill/>
                    </a:ln>
                  </pic:spPr>
                </pic:pic>
              </a:graphicData>
            </a:graphic>
          </wp:inline>
        </w:drawing>
      </w:r>
    </w:p>
    <w:p w14:paraId="5344EF41" w14:textId="77777777" w:rsidR="007643EF" w:rsidRPr="007643EF" w:rsidRDefault="007643EF" w:rsidP="007643EF">
      <w:pPr>
        <w:numPr>
          <w:ilvl w:val="1"/>
          <w:numId w:val="0"/>
        </w:numPr>
        <w:jc w:val="both"/>
        <w:rPr>
          <w:rFonts w:cs="Times New Roman"/>
          <w:b/>
          <w:iCs w:val="0"/>
          <w:szCs w:val="22"/>
          <w:lang w:val="es-MX" w:eastAsia="en-US"/>
        </w:rPr>
      </w:pPr>
    </w:p>
    <w:p w14:paraId="169B6C8E" w14:textId="77777777" w:rsidR="007643EF" w:rsidRPr="007643EF" w:rsidRDefault="007643EF" w:rsidP="007643EF">
      <w:pPr>
        <w:numPr>
          <w:ilvl w:val="1"/>
          <w:numId w:val="0"/>
        </w:numPr>
        <w:jc w:val="both"/>
        <w:rPr>
          <w:rFonts w:cs="Times New Roman"/>
          <w:b/>
          <w:iCs w:val="0"/>
          <w:szCs w:val="22"/>
          <w:lang w:val="es-MX" w:eastAsia="en-US"/>
        </w:rPr>
      </w:pPr>
    </w:p>
    <w:p w14:paraId="63A03231"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t>Cuentas de egresos</w:t>
      </w:r>
    </w:p>
    <w:p w14:paraId="13B25AE5" w14:textId="77777777" w:rsidR="007643EF" w:rsidRPr="007643EF" w:rsidRDefault="007643EF" w:rsidP="007643EF">
      <w:pPr>
        <w:jc w:val="both"/>
        <w:outlineLvl w:val="0"/>
        <w:rPr>
          <w:rFonts w:eastAsia="Calibri"/>
          <w:iCs w:val="0"/>
          <w:lang w:val="es-MX" w:eastAsia="en-US"/>
        </w:rPr>
      </w:pPr>
    </w:p>
    <w:p w14:paraId="3C55B58B" w14:textId="77777777" w:rsidR="007643EF" w:rsidRPr="007643EF" w:rsidRDefault="007643EF" w:rsidP="007643EF">
      <w:pPr>
        <w:jc w:val="both"/>
        <w:outlineLvl w:val="0"/>
        <w:rPr>
          <w:rFonts w:eastAsia="Calibri"/>
          <w:iCs w:val="0"/>
          <w:lang w:val="es-MX" w:eastAsia="en-US"/>
        </w:rPr>
      </w:pPr>
      <w:r w:rsidRPr="007643EF">
        <w:rPr>
          <w:rFonts w:eastAsia="Calibri"/>
          <w:iCs w:val="0"/>
          <w:lang w:val="es-MX" w:eastAsia="en-US"/>
        </w:rPr>
        <w:t>El estado del ejercicio del presupuesto de egresos del Gobierno Estatal, refleja al 31 de diciembre de 2023, una modificación neta positiva al presupuesto aprobado anual de 13 mil 908.9 millones de pesos representando el 16.1 % mayor, llegando a un monto de 100 mil 349.2 millones de pesos.</w:t>
      </w:r>
    </w:p>
    <w:p w14:paraId="3F2271BC" w14:textId="77777777" w:rsidR="007643EF" w:rsidRPr="007643EF" w:rsidRDefault="007643EF" w:rsidP="007643EF">
      <w:pPr>
        <w:jc w:val="both"/>
        <w:outlineLvl w:val="0"/>
        <w:rPr>
          <w:rFonts w:eastAsia="Calibri"/>
          <w:iCs w:val="0"/>
          <w:lang w:val="es-MX" w:eastAsia="en-US"/>
        </w:rPr>
      </w:pPr>
    </w:p>
    <w:p w14:paraId="277203C7" w14:textId="77777777" w:rsidR="007643EF" w:rsidRPr="007643EF" w:rsidRDefault="007643EF" w:rsidP="007643EF">
      <w:pPr>
        <w:jc w:val="both"/>
        <w:rPr>
          <w:rFonts w:eastAsia="Calibri"/>
          <w:iCs w:val="0"/>
          <w:lang w:val="es-MX" w:eastAsia="en-US"/>
        </w:rPr>
      </w:pPr>
      <w:r w:rsidRPr="007643EF">
        <w:rPr>
          <w:rFonts w:eastAsia="Calibri"/>
          <w:iCs w:val="0"/>
          <w:lang w:val="es-MX" w:eastAsia="en-US"/>
        </w:rPr>
        <w:t xml:space="preserve">El presupuesto devengado a la fecha que se informa fue de 92 mil 953.1 millones de pesos, de los cuales se aplicaron 41 mil 72.4 millones de pesos para servicios personales, que equivale al 44.2 % del devengado total; 29 mil 832.3 millones de pesos a participaciones y aportaciones, equivalente al 32.1 % del devengo total; en inversiones financieras y otras provisiones se aplicaron 5 mil 204.2 millones de pesos, que equivale al 5.6 % del total devengado; 4 mil 299.5 millones de pesos para servicios generales, que equivale al 4.6 % del devengado total; en transferencias, asignaciones, subsidios y otras ayudas, se destinaron 3 mil 953.2 millones de pesos, que representa el 4.2 % del total devengado; en inversión pública se destinaron 3 mil 898.9 millones de pesos, equivalente al 4.2 % del devengo total; 1 mil 942.3 millones de pesos en materiales y suministros, equivalente al 2.1 % del total devengado; en deuda pública se aplicaron 1 mil 912.5 millones de pesos, que equivale al 2.1 % del total devengado; entre los rubros más sobresalientes. </w:t>
      </w:r>
    </w:p>
    <w:p w14:paraId="5C07B1E6" w14:textId="77777777" w:rsidR="007643EF" w:rsidRPr="007643EF" w:rsidRDefault="007643EF" w:rsidP="007643EF">
      <w:pPr>
        <w:jc w:val="both"/>
        <w:rPr>
          <w:rFonts w:eastAsia="Calibri"/>
          <w:iCs w:val="0"/>
          <w:lang w:val="es-MX" w:eastAsia="en-US"/>
        </w:rPr>
      </w:pPr>
    </w:p>
    <w:p w14:paraId="2E409EC5" w14:textId="1A22F271" w:rsidR="007643EF" w:rsidRPr="007643EF" w:rsidRDefault="007643EF" w:rsidP="007643EF">
      <w:pPr>
        <w:jc w:val="center"/>
        <w:outlineLvl w:val="0"/>
        <w:rPr>
          <w:rFonts w:eastAsia="Calibri"/>
          <w:b/>
          <w:bCs/>
          <w:iCs w:val="0"/>
          <w:lang w:val="es-MX" w:eastAsia="en-US"/>
        </w:rPr>
      </w:pPr>
      <w:r w:rsidRPr="007643EF">
        <w:rPr>
          <w:rFonts w:eastAsia="Calibri"/>
        </w:rPr>
        <w:drawing>
          <wp:inline distT="0" distB="0" distL="0" distR="0" wp14:anchorId="68882BDD" wp14:editId="22708805">
            <wp:extent cx="6692900" cy="260159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900" cy="2601595"/>
                    </a:xfrm>
                    <a:prstGeom prst="rect">
                      <a:avLst/>
                    </a:prstGeom>
                    <a:noFill/>
                    <a:ln>
                      <a:noFill/>
                    </a:ln>
                  </pic:spPr>
                </pic:pic>
              </a:graphicData>
            </a:graphic>
          </wp:inline>
        </w:drawing>
      </w:r>
    </w:p>
    <w:p w14:paraId="0017B9B9" w14:textId="77777777" w:rsidR="007643EF" w:rsidRPr="007643EF" w:rsidRDefault="007643EF" w:rsidP="007643EF">
      <w:pPr>
        <w:numPr>
          <w:ilvl w:val="1"/>
          <w:numId w:val="0"/>
        </w:numPr>
        <w:jc w:val="both"/>
        <w:rPr>
          <w:rFonts w:cs="Times New Roman"/>
          <w:b/>
          <w:iCs w:val="0"/>
          <w:szCs w:val="22"/>
          <w:lang w:val="es-MX" w:eastAsia="en-US"/>
        </w:rPr>
      </w:pPr>
      <w:bookmarkStart w:id="3" w:name="_Hlk129620584"/>
    </w:p>
    <w:p w14:paraId="293C8CA1" w14:textId="77777777" w:rsidR="007643EF" w:rsidRPr="007643EF" w:rsidRDefault="007643EF" w:rsidP="007643EF">
      <w:pPr>
        <w:numPr>
          <w:ilvl w:val="1"/>
          <w:numId w:val="0"/>
        </w:numPr>
        <w:jc w:val="both"/>
        <w:rPr>
          <w:rFonts w:cs="Times New Roman"/>
          <w:b/>
          <w:iCs w:val="0"/>
          <w:szCs w:val="22"/>
          <w:lang w:val="es-MX" w:eastAsia="en-US"/>
        </w:rPr>
      </w:pPr>
      <w:r w:rsidRPr="007643EF">
        <w:rPr>
          <w:rFonts w:cs="Times New Roman"/>
          <w:b/>
          <w:iCs w:val="0"/>
          <w:szCs w:val="22"/>
          <w:lang w:val="es-MX" w:eastAsia="en-US"/>
        </w:rPr>
        <w:lastRenderedPageBreak/>
        <w:t>Razones financieras</w:t>
      </w:r>
    </w:p>
    <w:bookmarkEnd w:id="3"/>
    <w:p w14:paraId="12EBCC97" w14:textId="77777777" w:rsidR="007643EF" w:rsidRPr="007643EF" w:rsidRDefault="007643EF" w:rsidP="007643EF">
      <w:pPr>
        <w:tabs>
          <w:tab w:val="left" w:pos="5280"/>
        </w:tabs>
        <w:jc w:val="both"/>
        <w:rPr>
          <w:rFonts w:eastAsia="Calibri"/>
          <w:iCs w:val="0"/>
          <w:lang w:val="es-MX" w:eastAsia="en-US"/>
        </w:rPr>
      </w:pPr>
    </w:p>
    <w:p w14:paraId="7B1484A2" w14:textId="77777777" w:rsidR="007643EF" w:rsidRPr="007643EF" w:rsidRDefault="007643EF" w:rsidP="007643EF">
      <w:pPr>
        <w:spacing w:after="120"/>
        <w:jc w:val="both"/>
      </w:pPr>
      <w:r w:rsidRPr="007643EF">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5D313B81" w14:textId="77777777" w:rsidR="007643EF" w:rsidRPr="007643EF" w:rsidRDefault="007643EF" w:rsidP="007643EF">
      <w:pPr>
        <w:tabs>
          <w:tab w:val="left" w:pos="5280"/>
        </w:tabs>
        <w:jc w:val="both"/>
        <w:rPr>
          <w:rFonts w:eastAsia="Calibri"/>
          <w:iCs w:val="0"/>
          <w:lang w:val="es-MX" w:eastAsia="en-US"/>
        </w:rPr>
      </w:pPr>
    </w:p>
    <w:p w14:paraId="44C4990F"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A los resultados obtenidos al 31 de diciembre de 2023, se aplicaron las siguientes razones financieras:</w:t>
      </w:r>
    </w:p>
    <w:p w14:paraId="45309C15" w14:textId="77777777" w:rsidR="007643EF" w:rsidRPr="007643EF" w:rsidRDefault="007643EF" w:rsidP="007643EF">
      <w:pPr>
        <w:tabs>
          <w:tab w:val="left" w:pos="5280"/>
        </w:tabs>
        <w:jc w:val="both"/>
        <w:rPr>
          <w:rFonts w:eastAsia="Calibri"/>
          <w:iCs w:val="0"/>
          <w:lang w:val="es-MX" w:eastAsia="en-US"/>
        </w:rPr>
      </w:pPr>
    </w:p>
    <w:p w14:paraId="74E09DFA" w14:textId="291FBEB1" w:rsidR="007643EF" w:rsidRPr="007643EF" w:rsidRDefault="007643EF" w:rsidP="007643EF">
      <w:pPr>
        <w:tabs>
          <w:tab w:val="left" w:pos="5280"/>
        </w:tabs>
        <w:jc w:val="both"/>
        <w:rPr>
          <w:rFonts w:eastAsia="Calibri"/>
          <w:b/>
          <w:bCs/>
          <w:iCs w:val="0"/>
          <w:lang w:val="es-MX" w:eastAsia="en-US"/>
        </w:rPr>
      </w:pPr>
      <w:r w:rsidRPr="007643EF">
        <w:rPr>
          <w:rFonts w:eastAsia="Calibri"/>
        </w:rPr>
        <w:drawing>
          <wp:inline distT="0" distB="0" distL="0" distR="0" wp14:anchorId="50A943DF" wp14:editId="76950B09">
            <wp:extent cx="6692900" cy="2493010"/>
            <wp:effectExtent l="0" t="0" r="0" b="254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900" cy="2493010"/>
                    </a:xfrm>
                    <a:prstGeom prst="rect">
                      <a:avLst/>
                    </a:prstGeom>
                    <a:noFill/>
                    <a:ln>
                      <a:noFill/>
                    </a:ln>
                  </pic:spPr>
                </pic:pic>
              </a:graphicData>
            </a:graphic>
          </wp:inline>
        </w:drawing>
      </w:r>
    </w:p>
    <w:p w14:paraId="6819838B" w14:textId="77777777" w:rsidR="007643EF" w:rsidRPr="007643EF" w:rsidRDefault="007643EF" w:rsidP="007643EF">
      <w:pPr>
        <w:tabs>
          <w:tab w:val="left" w:pos="5280"/>
        </w:tabs>
        <w:jc w:val="both"/>
        <w:rPr>
          <w:rFonts w:eastAsia="Calibri"/>
          <w:iCs w:val="0"/>
          <w:lang w:val="es-MX" w:eastAsia="en-US"/>
        </w:rPr>
      </w:pPr>
    </w:p>
    <w:p w14:paraId="35D851ED" w14:textId="77777777" w:rsidR="007643EF" w:rsidRPr="007643EF" w:rsidRDefault="007643EF" w:rsidP="007643EF">
      <w:pPr>
        <w:tabs>
          <w:tab w:val="left" w:pos="5280"/>
        </w:tabs>
        <w:jc w:val="both"/>
        <w:rPr>
          <w:rFonts w:eastAsia="Calibri"/>
          <w:iCs w:val="0"/>
          <w:lang w:val="es-MX" w:eastAsia="en-US"/>
        </w:rPr>
      </w:pPr>
    </w:p>
    <w:p w14:paraId="46CBB030"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 xml:space="preserve">Los estados financieros muestran un resultado de 5.2 pesos de </w:t>
      </w:r>
      <w:r w:rsidRPr="007643EF">
        <w:rPr>
          <w:rFonts w:eastAsia="Calibri"/>
          <w:b/>
          <w:bCs/>
          <w:iCs w:val="0"/>
          <w:lang w:val="es-MX" w:eastAsia="en-US"/>
        </w:rPr>
        <w:t>liquidez y disponibilidad inmediata</w:t>
      </w:r>
      <w:r w:rsidRPr="007643EF">
        <w:rPr>
          <w:rFonts w:eastAsia="Calibri"/>
          <w:iCs w:val="0"/>
          <w:lang w:val="es-MX" w:eastAsia="en-US"/>
        </w:rPr>
        <w:t xml:space="preserve"> para hacer frente a cada peso de los compromisos de corto plazo.</w:t>
      </w:r>
    </w:p>
    <w:p w14:paraId="0F32F908" w14:textId="77777777" w:rsidR="007643EF" w:rsidRPr="007643EF" w:rsidRDefault="007643EF" w:rsidP="007643EF">
      <w:pPr>
        <w:tabs>
          <w:tab w:val="left" w:pos="5280"/>
        </w:tabs>
        <w:jc w:val="both"/>
        <w:rPr>
          <w:rFonts w:eastAsia="Calibri"/>
          <w:iCs w:val="0"/>
          <w:lang w:val="es-MX" w:eastAsia="en-US"/>
        </w:rPr>
      </w:pPr>
    </w:p>
    <w:p w14:paraId="31886859"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 xml:space="preserve">La razón de </w:t>
      </w:r>
      <w:r w:rsidRPr="007643EF">
        <w:rPr>
          <w:rFonts w:eastAsia="Calibri"/>
          <w:b/>
          <w:bCs/>
          <w:iCs w:val="0"/>
          <w:lang w:val="es-MX" w:eastAsia="en-US"/>
        </w:rPr>
        <w:t>solvencia</w:t>
      </w:r>
      <w:r w:rsidRPr="007643EF">
        <w:rPr>
          <w:rFonts w:eastAsia="Calibri"/>
          <w:iCs w:val="0"/>
          <w:lang w:val="es-MX" w:eastAsia="en-US"/>
        </w:rPr>
        <w:t xml:space="preserve"> muestra que el Gobierno cuenta con 5.2 pesos para cubrir cada peso que debe por sus compromisos a corto plazo.</w:t>
      </w:r>
    </w:p>
    <w:p w14:paraId="5917D9E6" w14:textId="77777777" w:rsidR="007643EF" w:rsidRPr="007643EF" w:rsidRDefault="007643EF" w:rsidP="007643EF">
      <w:pPr>
        <w:tabs>
          <w:tab w:val="left" w:pos="5280"/>
        </w:tabs>
        <w:jc w:val="both"/>
        <w:rPr>
          <w:rFonts w:eastAsia="Calibri"/>
          <w:iCs w:val="0"/>
          <w:lang w:val="es-MX" w:eastAsia="en-US"/>
        </w:rPr>
      </w:pPr>
    </w:p>
    <w:p w14:paraId="030F35E8" w14:textId="77777777" w:rsidR="007643EF" w:rsidRPr="007643EF" w:rsidRDefault="007643EF" w:rsidP="007643EF">
      <w:pPr>
        <w:tabs>
          <w:tab w:val="left" w:pos="5280"/>
        </w:tabs>
        <w:spacing w:after="120"/>
      </w:pPr>
      <w:r w:rsidRPr="007643EF">
        <w:t xml:space="preserve">La </w:t>
      </w:r>
      <w:r w:rsidRPr="007643EF">
        <w:rPr>
          <w:b/>
          <w:bCs/>
        </w:rPr>
        <w:t>prueba del ácido</w:t>
      </w:r>
      <w:r w:rsidRPr="007643EF">
        <w:t xml:space="preserve"> indica que el Estado cuenta con 5.2 pesos de activos de conversión inmediata en efectivo por cada peso de pasivos a corto plazo.</w:t>
      </w:r>
    </w:p>
    <w:p w14:paraId="7993C797" w14:textId="77777777" w:rsidR="007643EF" w:rsidRPr="007643EF" w:rsidRDefault="007643EF" w:rsidP="007643EF">
      <w:pPr>
        <w:tabs>
          <w:tab w:val="left" w:pos="5280"/>
        </w:tabs>
        <w:jc w:val="both"/>
        <w:rPr>
          <w:rFonts w:eastAsia="Calibri"/>
          <w:iCs w:val="0"/>
          <w:lang w:val="es-MX" w:eastAsia="en-US"/>
        </w:rPr>
      </w:pPr>
    </w:p>
    <w:p w14:paraId="355CE28C" w14:textId="77777777" w:rsidR="007643EF" w:rsidRPr="007643EF" w:rsidRDefault="007643EF" w:rsidP="007643EF">
      <w:pPr>
        <w:tabs>
          <w:tab w:val="left" w:pos="5280"/>
        </w:tabs>
        <w:jc w:val="both"/>
        <w:rPr>
          <w:rFonts w:eastAsia="Calibri"/>
          <w:iCs w:val="0"/>
          <w:lang w:val="es-MX" w:eastAsia="en-US"/>
        </w:rPr>
      </w:pPr>
      <w:r w:rsidRPr="007643EF">
        <w:rPr>
          <w:rFonts w:eastAsia="Calibri"/>
          <w:iCs w:val="0"/>
          <w:lang w:val="es-MX" w:eastAsia="en-US"/>
        </w:rPr>
        <w:t>La posición financiera que guarda el Gobierno del Estado muestra los ingresos y egresos al 31 de diciembre del ejercicio 2023, toda vez que los saldos de los pasivos se han mantenido en niveles saludables y en equilibrio de la recaudación de los ingresos.</w:t>
      </w:r>
    </w:p>
    <w:p w14:paraId="476BD4A0" w14:textId="77777777" w:rsidR="007643EF" w:rsidRPr="007643EF" w:rsidRDefault="007643EF" w:rsidP="007643EF">
      <w:pPr>
        <w:tabs>
          <w:tab w:val="left" w:pos="5280"/>
        </w:tabs>
        <w:spacing w:after="120"/>
      </w:pPr>
    </w:p>
    <w:p w14:paraId="0EC8C7B5" w14:textId="77777777" w:rsidR="007643EF" w:rsidRPr="007643EF" w:rsidRDefault="007643EF" w:rsidP="007643EF">
      <w:pPr>
        <w:tabs>
          <w:tab w:val="left" w:pos="5280"/>
        </w:tabs>
        <w:spacing w:after="120"/>
      </w:pPr>
      <w:r w:rsidRPr="007643EF">
        <w:t>En conclusión, las obligaciones que se tienen a corto plazo, son cubiertas con el total de los activos propiedad del Estado.</w:t>
      </w:r>
    </w:p>
    <w:p w14:paraId="47A22C77" w14:textId="77777777" w:rsidR="007643EF" w:rsidRPr="007643EF" w:rsidRDefault="007643EF" w:rsidP="007643EF">
      <w:pPr>
        <w:tabs>
          <w:tab w:val="left" w:pos="5280"/>
        </w:tabs>
        <w:spacing w:after="120"/>
      </w:pPr>
    </w:p>
    <w:p w14:paraId="3390B689" w14:textId="77777777" w:rsidR="007643EF" w:rsidRPr="007643EF" w:rsidRDefault="007643EF" w:rsidP="007643EF">
      <w:pPr>
        <w:tabs>
          <w:tab w:val="left" w:pos="5280"/>
        </w:tabs>
        <w:spacing w:after="120"/>
      </w:pPr>
    </w:p>
    <w:p w14:paraId="51B76F6C" w14:textId="77777777" w:rsidR="007643EF" w:rsidRPr="007643EF" w:rsidRDefault="007643EF" w:rsidP="007643EF">
      <w:pPr>
        <w:spacing w:after="160" w:line="259" w:lineRule="auto"/>
        <w:jc w:val="both"/>
        <w:rPr>
          <w:rFonts w:eastAsia="Calibri"/>
          <w:b/>
          <w:iCs w:val="0"/>
          <w:caps/>
          <w:lang w:val="es-MX" w:eastAsia="en-US"/>
        </w:rPr>
      </w:pPr>
      <w:r w:rsidRPr="007643EF">
        <w:rPr>
          <w:rFonts w:eastAsia="Calibri"/>
          <w:b/>
          <w:iCs w:val="0"/>
          <w:caps/>
          <w:lang w:val="es-MX" w:eastAsia="en-US"/>
        </w:rPr>
        <w:br w:type="page"/>
      </w:r>
    </w:p>
    <w:p w14:paraId="053A7148" w14:textId="77777777" w:rsidR="007643EF" w:rsidRPr="007643EF" w:rsidRDefault="007643EF" w:rsidP="007643EF">
      <w:pPr>
        <w:jc w:val="both"/>
        <w:rPr>
          <w:b/>
          <w:bCs/>
          <w:iCs w:val="0"/>
          <w:color w:val="9E213D"/>
          <w:sz w:val="28"/>
          <w:szCs w:val="24"/>
        </w:rPr>
      </w:pPr>
      <w:bookmarkStart w:id="4" w:name="_Hlk129620599"/>
      <w:r w:rsidRPr="007643EF">
        <w:rPr>
          <w:b/>
          <w:bCs/>
          <w:iCs w:val="0"/>
          <w:color w:val="9E213D"/>
          <w:sz w:val="28"/>
          <w:szCs w:val="24"/>
        </w:rPr>
        <w:lastRenderedPageBreak/>
        <w:t>Reporte analítico del activo no circulante</w:t>
      </w:r>
    </w:p>
    <w:bookmarkEnd w:id="4"/>
    <w:p w14:paraId="2E1891FA" w14:textId="77777777" w:rsidR="007643EF" w:rsidRPr="007643EF" w:rsidRDefault="007643EF" w:rsidP="007643EF">
      <w:pPr>
        <w:widowControl w:val="0"/>
        <w:jc w:val="both"/>
        <w:rPr>
          <w:rFonts w:eastAsia="Calibri"/>
          <w:iCs w:val="0"/>
          <w:lang w:val="es-MX" w:eastAsia="en-US"/>
        </w:rPr>
      </w:pPr>
    </w:p>
    <w:p w14:paraId="7FA4EDD9" w14:textId="77777777" w:rsidR="007643EF" w:rsidRPr="007643EF" w:rsidRDefault="007643EF" w:rsidP="007643EF">
      <w:pPr>
        <w:widowControl w:val="0"/>
        <w:jc w:val="both"/>
        <w:rPr>
          <w:rFonts w:eastAsia="Calibri"/>
          <w:iCs w:val="0"/>
          <w:lang w:val="es-MX" w:eastAsia="en-US"/>
        </w:rPr>
      </w:pPr>
      <w:r w:rsidRPr="007643EF">
        <w:rPr>
          <w:rFonts w:eastAsia="Calibri"/>
          <w:iCs w:val="0"/>
          <w:lang w:val="es-MX" w:eastAsia="en-US"/>
        </w:rPr>
        <w:t xml:space="preserve">A continuación, se presentan los saldos por tipo de activo no circulante registrado en los estados financieros consolidados del Gobierno del estado de Chiapas, al 31 de diciembre de 2023. Este reporte muestra el total de las adquisiciones que cada uno de los entes públicos integran su patrimonio. </w:t>
      </w:r>
    </w:p>
    <w:p w14:paraId="7545895A" w14:textId="77777777" w:rsidR="007643EF" w:rsidRPr="007643EF" w:rsidRDefault="007643EF" w:rsidP="007643EF">
      <w:pPr>
        <w:widowControl w:val="0"/>
        <w:jc w:val="both"/>
        <w:rPr>
          <w:rFonts w:eastAsia="Calibri"/>
          <w:iCs w:val="0"/>
          <w:lang w:val="es-MX" w:eastAsia="en-US"/>
        </w:rPr>
      </w:pPr>
    </w:p>
    <w:p w14:paraId="07B334B7" w14:textId="0A33724B" w:rsidR="007643EF" w:rsidRPr="007643EF" w:rsidRDefault="00AD7A84" w:rsidP="007643EF">
      <w:pPr>
        <w:widowControl w:val="0"/>
        <w:jc w:val="both"/>
        <w:rPr>
          <w:rFonts w:eastAsia="Calibri"/>
          <w:iCs w:val="0"/>
          <w:lang w:val="es-MX" w:eastAsia="en-US"/>
        </w:rPr>
      </w:pPr>
      <w:r w:rsidRPr="00AD7A84">
        <w:rPr>
          <w:rFonts w:eastAsia="Calibri"/>
        </w:rPr>
        <w:drawing>
          <wp:inline distT="0" distB="0" distL="0" distR="0" wp14:anchorId="2CB5133C" wp14:editId="2BC10E1A">
            <wp:extent cx="6692900" cy="312102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900" cy="3121025"/>
                    </a:xfrm>
                    <a:prstGeom prst="rect">
                      <a:avLst/>
                    </a:prstGeom>
                    <a:noFill/>
                    <a:ln>
                      <a:noFill/>
                    </a:ln>
                  </pic:spPr>
                </pic:pic>
              </a:graphicData>
            </a:graphic>
          </wp:inline>
        </w:drawing>
      </w:r>
    </w:p>
    <w:p w14:paraId="00F9FD11" w14:textId="77777777" w:rsidR="007643EF" w:rsidRPr="007643EF" w:rsidRDefault="007643EF" w:rsidP="007643EF">
      <w:pPr>
        <w:widowControl w:val="0"/>
        <w:jc w:val="both"/>
        <w:rPr>
          <w:rFonts w:eastAsia="Calibri"/>
          <w:iCs w:val="0"/>
          <w:lang w:val="es-MX" w:eastAsia="en-US"/>
        </w:rPr>
      </w:pPr>
    </w:p>
    <w:p w14:paraId="116E2B94" w14:textId="77777777" w:rsidR="007643EF" w:rsidRPr="007643EF" w:rsidRDefault="007643EF" w:rsidP="007643EF">
      <w:pPr>
        <w:widowControl w:val="0"/>
        <w:jc w:val="both"/>
        <w:rPr>
          <w:rFonts w:eastAsia="Calibri"/>
          <w:iCs w:val="0"/>
          <w:lang w:val="es-MX" w:eastAsia="en-US"/>
        </w:rPr>
      </w:pPr>
    </w:p>
    <w:p w14:paraId="4A8A7B4C" w14:textId="77777777" w:rsidR="007643EF" w:rsidRPr="007643EF" w:rsidRDefault="007643EF" w:rsidP="007643EF">
      <w:pPr>
        <w:widowControl w:val="0"/>
        <w:jc w:val="both"/>
        <w:rPr>
          <w:rFonts w:eastAsia="Calibri"/>
          <w:iCs w:val="0"/>
          <w:lang w:val="es-MX" w:eastAsia="en-US"/>
        </w:rPr>
      </w:pPr>
    </w:p>
    <w:p w14:paraId="3DA8F03C" w14:textId="77777777" w:rsidR="007643EF" w:rsidRPr="007643EF" w:rsidRDefault="007643EF" w:rsidP="007643EF">
      <w:pPr>
        <w:widowControl w:val="0"/>
        <w:jc w:val="both"/>
        <w:rPr>
          <w:rFonts w:eastAsia="Calibri"/>
          <w:iCs w:val="0"/>
          <w:lang w:val="es-MX" w:eastAsia="en-US"/>
        </w:rPr>
      </w:pPr>
    </w:p>
    <w:p w14:paraId="1514F2E2" w14:textId="75FDCD6E" w:rsidR="007643EF" w:rsidRPr="007643EF" w:rsidRDefault="007643EF" w:rsidP="007643EF">
      <w:pPr>
        <w:widowControl w:val="0"/>
        <w:jc w:val="both"/>
        <w:rPr>
          <w:rFonts w:eastAsia="Calibri"/>
          <w:iCs w:val="0"/>
          <w:lang w:val="es-MX" w:eastAsia="en-US"/>
        </w:rPr>
      </w:pPr>
      <w:r w:rsidRPr="007643EF">
        <w:rPr>
          <w:rFonts w:eastAsia="Calibri"/>
          <w:iCs w:val="0"/>
          <w:lang w:val="es-MX" w:eastAsia="en-US"/>
        </w:rPr>
        <w:t xml:space="preserve"> </w:t>
      </w:r>
      <w:r w:rsidR="00AD7A84" w:rsidRPr="00AD7A84">
        <w:rPr>
          <w:rFonts w:eastAsia="Calibri"/>
        </w:rPr>
        <w:lastRenderedPageBreak/>
        <w:drawing>
          <wp:inline distT="0" distB="0" distL="0" distR="0" wp14:anchorId="016A1081" wp14:editId="24BE0B0E">
            <wp:extent cx="6692900" cy="6357620"/>
            <wp:effectExtent l="0" t="0" r="0" b="508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900" cy="6357620"/>
                    </a:xfrm>
                    <a:prstGeom prst="rect">
                      <a:avLst/>
                    </a:prstGeom>
                    <a:noFill/>
                    <a:ln>
                      <a:noFill/>
                    </a:ln>
                  </pic:spPr>
                </pic:pic>
              </a:graphicData>
            </a:graphic>
          </wp:inline>
        </w:drawing>
      </w:r>
    </w:p>
    <w:p w14:paraId="5FB68DB5" w14:textId="77777777" w:rsidR="007643EF" w:rsidRPr="007643EF" w:rsidRDefault="007643EF" w:rsidP="007643EF">
      <w:pPr>
        <w:widowControl w:val="0"/>
        <w:jc w:val="both"/>
        <w:rPr>
          <w:rFonts w:eastAsia="Calibri"/>
          <w:iCs w:val="0"/>
          <w:lang w:val="es-MX" w:eastAsia="en-US"/>
        </w:rPr>
      </w:pPr>
    </w:p>
    <w:p w14:paraId="79674F23" w14:textId="77777777" w:rsidR="007643EF" w:rsidRPr="007643EF" w:rsidRDefault="007643EF" w:rsidP="007643EF">
      <w:pPr>
        <w:widowControl w:val="0"/>
        <w:jc w:val="both"/>
        <w:rPr>
          <w:rFonts w:eastAsia="Calibri"/>
          <w:iCs w:val="0"/>
          <w:lang w:val="es-MX" w:eastAsia="en-US"/>
        </w:rPr>
      </w:pPr>
    </w:p>
    <w:p w14:paraId="0B53F19F" w14:textId="77777777" w:rsidR="007643EF" w:rsidRPr="007643EF" w:rsidRDefault="007643EF" w:rsidP="007643EF">
      <w:pPr>
        <w:widowControl w:val="0"/>
        <w:jc w:val="both"/>
        <w:rPr>
          <w:rFonts w:eastAsia="Calibri"/>
          <w:iCs w:val="0"/>
          <w:lang w:val="es-MX" w:eastAsia="en-US"/>
        </w:rPr>
      </w:pPr>
    </w:p>
    <w:p w14:paraId="2E6916A3" w14:textId="77777777" w:rsidR="007643EF" w:rsidRPr="007643EF" w:rsidRDefault="007643EF" w:rsidP="007643EF">
      <w:pPr>
        <w:widowControl w:val="0"/>
        <w:jc w:val="both"/>
        <w:rPr>
          <w:rFonts w:eastAsia="Calibri"/>
          <w:iCs w:val="0"/>
          <w:lang w:val="es-MX" w:eastAsia="en-US"/>
        </w:rPr>
      </w:pPr>
    </w:p>
    <w:p w14:paraId="109635B2" w14:textId="31AD76AE" w:rsidR="007643EF" w:rsidRPr="007643EF" w:rsidRDefault="007643EF" w:rsidP="007643EF">
      <w:pPr>
        <w:widowControl w:val="0"/>
        <w:jc w:val="both"/>
        <w:rPr>
          <w:rFonts w:eastAsia="Calibri"/>
          <w:iCs w:val="0"/>
          <w:lang w:val="es-MX" w:eastAsia="en-US"/>
        </w:rPr>
      </w:pPr>
      <w:r w:rsidRPr="007643EF">
        <w:rPr>
          <w:rFonts w:eastAsia="Calibri"/>
          <w:iCs w:val="0"/>
          <w:lang w:val="es-MX" w:eastAsia="en-US"/>
        </w:rPr>
        <w:t xml:space="preserve"> </w:t>
      </w:r>
      <w:r w:rsidR="00AD7A84" w:rsidRPr="00AD7A84">
        <w:rPr>
          <w:rFonts w:eastAsia="Calibri"/>
        </w:rPr>
        <w:lastRenderedPageBreak/>
        <w:drawing>
          <wp:inline distT="0" distB="0" distL="0" distR="0" wp14:anchorId="1CEF9C7C" wp14:editId="46815C61">
            <wp:extent cx="6692900" cy="501586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2900" cy="5015865"/>
                    </a:xfrm>
                    <a:prstGeom prst="rect">
                      <a:avLst/>
                    </a:prstGeom>
                    <a:noFill/>
                    <a:ln>
                      <a:noFill/>
                    </a:ln>
                  </pic:spPr>
                </pic:pic>
              </a:graphicData>
            </a:graphic>
          </wp:inline>
        </w:drawing>
      </w:r>
    </w:p>
    <w:p w14:paraId="6D96B644" w14:textId="77777777" w:rsidR="007643EF" w:rsidRPr="007643EF" w:rsidRDefault="007643EF" w:rsidP="007643EF">
      <w:pPr>
        <w:widowControl w:val="0"/>
        <w:jc w:val="both"/>
        <w:rPr>
          <w:rFonts w:eastAsia="Calibri"/>
          <w:iCs w:val="0"/>
          <w:lang w:val="es-MX" w:eastAsia="en-US"/>
        </w:rPr>
      </w:pPr>
    </w:p>
    <w:p w14:paraId="49DB4F48" w14:textId="77777777" w:rsidR="007643EF" w:rsidRPr="007643EF" w:rsidRDefault="007643EF" w:rsidP="007643EF">
      <w:pPr>
        <w:widowControl w:val="0"/>
        <w:jc w:val="both"/>
        <w:rPr>
          <w:rFonts w:eastAsia="Calibri"/>
          <w:iCs w:val="0"/>
          <w:lang w:val="es-MX" w:eastAsia="en-US"/>
        </w:rPr>
      </w:pPr>
    </w:p>
    <w:p w14:paraId="7D7D4B4E" w14:textId="7F07FB5A" w:rsidR="007643EF" w:rsidRPr="007643EF" w:rsidRDefault="00AD7A84" w:rsidP="007643EF">
      <w:pPr>
        <w:widowControl w:val="0"/>
        <w:jc w:val="both"/>
        <w:rPr>
          <w:rFonts w:eastAsia="Calibri"/>
          <w:iCs w:val="0"/>
          <w:lang w:val="es-MX" w:eastAsia="en-US"/>
        </w:rPr>
      </w:pPr>
      <w:r w:rsidRPr="00AD7A84">
        <w:rPr>
          <w:rFonts w:eastAsia="Calibri"/>
        </w:rPr>
        <w:drawing>
          <wp:inline distT="0" distB="0" distL="0" distR="0" wp14:anchorId="053397D1" wp14:editId="7F90E1C4">
            <wp:extent cx="6692900" cy="269938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92900" cy="2699385"/>
                    </a:xfrm>
                    <a:prstGeom prst="rect">
                      <a:avLst/>
                    </a:prstGeom>
                    <a:noFill/>
                    <a:ln>
                      <a:noFill/>
                    </a:ln>
                  </pic:spPr>
                </pic:pic>
              </a:graphicData>
            </a:graphic>
          </wp:inline>
        </w:drawing>
      </w:r>
      <w:r w:rsidR="007643EF" w:rsidRPr="007643EF">
        <w:rPr>
          <w:rFonts w:eastAsia="Calibri"/>
          <w:iCs w:val="0"/>
          <w:lang w:val="es-MX" w:eastAsia="en-US"/>
        </w:rPr>
        <w:t xml:space="preserve"> </w:t>
      </w:r>
    </w:p>
    <w:p w14:paraId="4ABEDA7C" w14:textId="77777777" w:rsidR="007643EF" w:rsidRPr="007643EF" w:rsidRDefault="007643EF" w:rsidP="007643EF">
      <w:pPr>
        <w:widowControl w:val="0"/>
        <w:jc w:val="both"/>
        <w:rPr>
          <w:rFonts w:eastAsia="Calibri"/>
          <w:iCs w:val="0"/>
          <w:lang w:val="es-MX" w:eastAsia="en-US"/>
        </w:rPr>
      </w:pPr>
    </w:p>
    <w:p w14:paraId="16D0974C" w14:textId="77777777" w:rsidR="007643EF" w:rsidRPr="007643EF" w:rsidRDefault="007643EF" w:rsidP="007643EF">
      <w:pPr>
        <w:widowControl w:val="0"/>
        <w:jc w:val="both"/>
        <w:rPr>
          <w:rFonts w:eastAsia="Calibri"/>
          <w:iCs w:val="0"/>
          <w:lang w:val="es-MX" w:eastAsia="en-US"/>
        </w:rPr>
      </w:pPr>
    </w:p>
    <w:p w14:paraId="5B4906B0" w14:textId="58B1F9E6"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65D9F11E" wp14:editId="243C086D">
            <wp:extent cx="6692900" cy="335280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900" cy="3352800"/>
                    </a:xfrm>
                    <a:prstGeom prst="rect">
                      <a:avLst/>
                    </a:prstGeom>
                    <a:noFill/>
                    <a:ln>
                      <a:noFill/>
                    </a:ln>
                  </pic:spPr>
                </pic:pic>
              </a:graphicData>
            </a:graphic>
          </wp:inline>
        </w:drawing>
      </w:r>
    </w:p>
    <w:p w14:paraId="1B92841A" w14:textId="77777777" w:rsidR="007643EF" w:rsidRPr="007643EF" w:rsidRDefault="007643EF" w:rsidP="007643EF">
      <w:pPr>
        <w:widowControl w:val="0"/>
        <w:jc w:val="both"/>
        <w:rPr>
          <w:rFonts w:eastAsia="Calibri"/>
          <w:iCs w:val="0"/>
          <w:lang w:val="es-MX" w:eastAsia="en-US"/>
        </w:rPr>
      </w:pPr>
    </w:p>
    <w:p w14:paraId="5EE29E14" w14:textId="77777777" w:rsidR="007643EF" w:rsidRPr="007643EF" w:rsidRDefault="007643EF" w:rsidP="007643EF">
      <w:pPr>
        <w:widowControl w:val="0"/>
        <w:jc w:val="both"/>
        <w:rPr>
          <w:rFonts w:eastAsia="Calibri"/>
          <w:iCs w:val="0"/>
          <w:lang w:val="es-MX" w:eastAsia="en-US"/>
        </w:rPr>
      </w:pPr>
    </w:p>
    <w:p w14:paraId="36D74DCB" w14:textId="55E3DBE6"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6AA6A342" wp14:editId="11EB1C55">
            <wp:extent cx="6692900" cy="515366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92900" cy="5153660"/>
                    </a:xfrm>
                    <a:prstGeom prst="rect">
                      <a:avLst/>
                    </a:prstGeom>
                    <a:noFill/>
                    <a:ln>
                      <a:noFill/>
                    </a:ln>
                  </pic:spPr>
                </pic:pic>
              </a:graphicData>
            </a:graphic>
          </wp:inline>
        </w:drawing>
      </w:r>
      <w:r w:rsidR="007643EF" w:rsidRPr="007643EF">
        <w:rPr>
          <w:rFonts w:eastAsia="Calibri"/>
          <w:iCs w:val="0"/>
          <w:lang w:val="es-MX" w:eastAsia="en-US"/>
        </w:rPr>
        <w:t xml:space="preserve"> </w:t>
      </w:r>
    </w:p>
    <w:p w14:paraId="7CD02721" w14:textId="4E0B5A6B"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160E8060" wp14:editId="27BA51E1">
            <wp:extent cx="6692900" cy="542290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92900" cy="5422900"/>
                    </a:xfrm>
                    <a:prstGeom prst="rect">
                      <a:avLst/>
                    </a:prstGeom>
                    <a:noFill/>
                    <a:ln>
                      <a:noFill/>
                    </a:ln>
                  </pic:spPr>
                </pic:pic>
              </a:graphicData>
            </a:graphic>
          </wp:inline>
        </w:drawing>
      </w:r>
    </w:p>
    <w:p w14:paraId="587A1AA4" w14:textId="77777777" w:rsidR="007643EF" w:rsidRPr="007643EF" w:rsidRDefault="007643EF" w:rsidP="007643EF">
      <w:pPr>
        <w:widowControl w:val="0"/>
        <w:jc w:val="both"/>
        <w:rPr>
          <w:rFonts w:eastAsia="Calibri"/>
          <w:iCs w:val="0"/>
          <w:lang w:val="es-MX" w:eastAsia="en-US"/>
        </w:rPr>
      </w:pPr>
    </w:p>
    <w:p w14:paraId="5F5CF6F1" w14:textId="77777777" w:rsidR="007643EF" w:rsidRPr="007643EF" w:rsidRDefault="007643EF" w:rsidP="007643EF">
      <w:pPr>
        <w:widowControl w:val="0"/>
        <w:jc w:val="both"/>
        <w:rPr>
          <w:rFonts w:eastAsia="Calibri"/>
          <w:iCs w:val="0"/>
          <w:lang w:val="es-MX" w:eastAsia="en-US"/>
        </w:rPr>
      </w:pPr>
    </w:p>
    <w:p w14:paraId="0C7A74F0" w14:textId="663C802F"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6C505164" wp14:editId="38C07477">
            <wp:extent cx="6692900" cy="368554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92900" cy="3685540"/>
                    </a:xfrm>
                    <a:prstGeom prst="rect">
                      <a:avLst/>
                    </a:prstGeom>
                    <a:noFill/>
                    <a:ln>
                      <a:noFill/>
                    </a:ln>
                  </pic:spPr>
                </pic:pic>
              </a:graphicData>
            </a:graphic>
          </wp:inline>
        </w:drawing>
      </w:r>
    </w:p>
    <w:p w14:paraId="50E4D88E" w14:textId="232745D6"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1E349F39" wp14:editId="7BD75357">
            <wp:extent cx="6692900" cy="5755640"/>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92900" cy="5755640"/>
                    </a:xfrm>
                    <a:prstGeom prst="rect">
                      <a:avLst/>
                    </a:prstGeom>
                    <a:noFill/>
                    <a:ln>
                      <a:noFill/>
                    </a:ln>
                  </pic:spPr>
                </pic:pic>
              </a:graphicData>
            </a:graphic>
          </wp:inline>
        </w:drawing>
      </w:r>
    </w:p>
    <w:p w14:paraId="7654905B" w14:textId="77777777" w:rsidR="007643EF" w:rsidRPr="007643EF" w:rsidRDefault="007643EF" w:rsidP="007643EF">
      <w:pPr>
        <w:widowControl w:val="0"/>
        <w:jc w:val="both"/>
        <w:rPr>
          <w:rFonts w:eastAsia="Calibri"/>
          <w:iCs w:val="0"/>
          <w:lang w:val="es-MX" w:eastAsia="en-US"/>
        </w:rPr>
      </w:pPr>
    </w:p>
    <w:p w14:paraId="2532EBEB" w14:textId="77777777" w:rsidR="007643EF" w:rsidRPr="007643EF" w:rsidRDefault="007643EF" w:rsidP="007643EF">
      <w:pPr>
        <w:widowControl w:val="0"/>
        <w:jc w:val="both"/>
        <w:rPr>
          <w:rFonts w:eastAsia="Calibri"/>
          <w:iCs w:val="0"/>
          <w:lang w:val="es-MX" w:eastAsia="en-US"/>
        </w:rPr>
      </w:pPr>
    </w:p>
    <w:p w14:paraId="2D916FC3" w14:textId="77777777" w:rsidR="007643EF" w:rsidRPr="007643EF" w:rsidRDefault="007643EF" w:rsidP="007643EF">
      <w:pPr>
        <w:widowControl w:val="0"/>
        <w:jc w:val="both"/>
        <w:rPr>
          <w:rFonts w:eastAsia="Calibri"/>
          <w:iCs w:val="0"/>
          <w:lang w:val="es-MX" w:eastAsia="en-US"/>
        </w:rPr>
      </w:pPr>
    </w:p>
    <w:p w14:paraId="3F795A11" w14:textId="77777777" w:rsidR="007643EF" w:rsidRPr="007643EF" w:rsidRDefault="007643EF" w:rsidP="007643EF">
      <w:pPr>
        <w:widowControl w:val="0"/>
        <w:jc w:val="both"/>
        <w:rPr>
          <w:rFonts w:eastAsia="Calibri"/>
          <w:iCs w:val="0"/>
          <w:lang w:val="es-MX" w:eastAsia="en-US"/>
        </w:rPr>
      </w:pPr>
    </w:p>
    <w:p w14:paraId="2D8109EE" w14:textId="77777777" w:rsidR="007643EF" w:rsidRPr="007643EF" w:rsidRDefault="007643EF" w:rsidP="007643EF">
      <w:pPr>
        <w:widowControl w:val="0"/>
        <w:jc w:val="both"/>
        <w:rPr>
          <w:rFonts w:eastAsia="Calibri"/>
          <w:iCs w:val="0"/>
          <w:lang w:val="es-MX" w:eastAsia="en-US"/>
        </w:rPr>
      </w:pPr>
    </w:p>
    <w:bookmarkEnd w:id="0"/>
    <w:p w14:paraId="4A66BB70" w14:textId="77777777" w:rsidR="007643EF" w:rsidRPr="007643EF" w:rsidRDefault="007643EF" w:rsidP="007643EF">
      <w:pPr>
        <w:widowControl w:val="0"/>
        <w:jc w:val="both"/>
        <w:rPr>
          <w:rFonts w:eastAsia="Calibri" w:cs="Times New Roman"/>
          <w:iCs w:val="0"/>
          <w:noProof/>
          <w:szCs w:val="22"/>
          <w:lang w:val="es-MX" w:eastAsia="es-MX"/>
        </w:rPr>
      </w:pPr>
    </w:p>
    <w:p w14:paraId="62319891" w14:textId="77777777" w:rsidR="007643EF" w:rsidRPr="007643EF" w:rsidRDefault="007643EF" w:rsidP="007643EF">
      <w:pPr>
        <w:widowControl w:val="0"/>
        <w:jc w:val="both"/>
        <w:rPr>
          <w:rFonts w:eastAsia="Calibri"/>
          <w:iCs w:val="0"/>
          <w:lang w:val="es-MX" w:eastAsia="en-US"/>
        </w:rPr>
      </w:pPr>
    </w:p>
    <w:p w14:paraId="23B6ED8F" w14:textId="77777777" w:rsidR="007643EF" w:rsidRPr="007643EF" w:rsidRDefault="007643EF" w:rsidP="007643EF">
      <w:pPr>
        <w:widowControl w:val="0"/>
        <w:jc w:val="both"/>
        <w:rPr>
          <w:rFonts w:eastAsia="Calibri"/>
          <w:iCs w:val="0"/>
          <w:lang w:val="es-MX" w:eastAsia="en-US"/>
        </w:rPr>
      </w:pPr>
    </w:p>
    <w:p w14:paraId="3BC45C98" w14:textId="0FEE57B3" w:rsidR="007643EF" w:rsidRPr="007643EF" w:rsidRDefault="00AD7A84" w:rsidP="007643EF">
      <w:pPr>
        <w:widowControl w:val="0"/>
        <w:jc w:val="both"/>
        <w:rPr>
          <w:rFonts w:eastAsia="Calibri"/>
          <w:iCs w:val="0"/>
          <w:lang w:val="es-MX" w:eastAsia="en-US"/>
        </w:rPr>
      </w:pPr>
      <w:r w:rsidRPr="00AD7A84">
        <w:rPr>
          <w:rFonts w:eastAsia="Calibri"/>
        </w:rPr>
        <w:lastRenderedPageBreak/>
        <w:drawing>
          <wp:inline distT="0" distB="0" distL="0" distR="0" wp14:anchorId="5E5B906F" wp14:editId="4A38949F">
            <wp:extent cx="6692900" cy="3960495"/>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92900" cy="3960495"/>
                    </a:xfrm>
                    <a:prstGeom prst="rect">
                      <a:avLst/>
                    </a:prstGeom>
                    <a:noFill/>
                    <a:ln>
                      <a:noFill/>
                    </a:ln>
                  </pic:spPr>
                </pic:pic>
              </a:graphicData>
            </a:graphic>
          </wp:inline>
        </w:drawing>
      </w:r>
      <w:bookmarkStart w:id="5" w:name="_GoBack"/>
      <w:bookmarkEnd w:id="5"/>
    </w:p>
    <w:p w14:paraId="7720FE4B" w14:textId="77777777" w:rsidR="007643EF" w:rsidRPr="007643EF" w:rsidRDefault="007643EF" w:rsidP="007643EF">
      <w:pPr>
        <w:jc w:val="both"/>
        <w:outlineLvl w:val="0"/>
        <w:rPr>
          <w:rFonts w:eastAsia="Calibri"/>
          <w:iCs w:val="0"/>
          <w:lang w:val="es-MX" w:eastAsia="en-US"/>
        </w:rPr>
      </w:pPr>
    </w:p>
    <w:p w14:paraId="3B732FB0" w14:textId="416326F1" w:rsidR="008B495D" w:rsidRPr="007643EF" w:rsidRDefault="008B495D" w:rsidP="007643EF"/>
    <w:sectPr w:rsidR="008B495D" w:rsidRPr="007643EF" w:rsidSect="006E7DD1">
      <w:headerReference w:type="default" r:id="rId64"/>
      <w:footerReference w:type="even" r:id="rId65"/>
      <w:footerReference w:type="default" r:id="rId66"/>
      <w:headerReference w:type="first" r:id="rId67"/>
      <w:footerReference w:type="first" r:id="rId6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4D10" w14:textId="77777777" w:rsidR="007643EF" w:rsidRDefault="007643EF">
      <w:r>
        <w:separator/>
      </w:r>
    </w:p>
  </w:endnote>
  <w:endnote w:type="continuationSeparator" w:id="0">
    <w:p w14:paraId="1C00B914" w14:textId="77777777" w:rsidR="007643EF" w:rsidRDefault="0076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7E64" w14:textId="77777777" w:rsidR="007643EF" w:rsidRDefault="007643EF"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C59101" w14:textId="77777777" w:rsidR="007643EF" w:rsidRPr="00455BFD" w:rsidRDefault="007643EF"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47ED" w14:textId="77777777" w:rsidR="007643EF" w:rsidRPr="007643EF" w:rsidRDefault="007643EF"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7643EF">
      <w:rPr>
        <w:rFonts w:ascii="HelveticaNeueLT Std Lt" w:eastAsia="Kozuka Gothic Pro B" w:hAnsi="HelveticaNeueLT Std Lt"/>
        <w:color w:val="FFFFFF"/>
        <w:sz w:val="22"/>
        <w:szCs w:val="22"/>
        <w:lang w:val="es-MX"/>
      </w:rPr>
      <w:fldChar w:fldCharType="begin"/>
    </w:r>
    <w:r w:rsidRPr="007643EF">
      <w:rPr>
        <w:rFonts w:ascii="HelveticaNeueLT Std Lt" w:eastAsia="Kozuka Gothic Pro B" w:hAnsi="HelveticaNeueLT Std Lt"/>
        <w:color w:val="FFFFFF"/>
        <w:sz w:val="22"/>
        <w:szCs w:val="22"/>
        <w:lang w:val="es-MX"/>
      </w:rPr>
      <w:instrText xml:space="preserve">PAGE  </w:instrText>
    </w:r>
    <w:r w:rsidRPr="007643EF">
      <w:rPr>
        <w:rFonts w:ascii="HelveticaNeueLT Std Lt" w:eastAsia="Kozuka Gothic Pro B" w:hAnsi="HelveticaNeueLT Std Lt"/>
        <w:color w:val="FFFFFF"/>
        <w:sz w:val="22"/>
        <w:szCs w:val="22"/>
        <w:lang w:val="es-MX"/>
      </w:rPr>
      <w:fldChar w:fldCharType="separate"/>
    </w:r>
    <w:r w:rsidRPr="007643EF">
      <w:rPr>
        <w:rFonts w:ascii="HelveticaNeueLT Std Lt" w:eastAsia="Kozuka Gothic Pro B" w:hAnsi="HelveticaNeueLT Std Lt"/>
        <w:noProof/>
        <w:color w:val="FFFFFF"/>
        <w:sz w:val="22"/>
        <w:szCs w:val="22"/>
        <w:lang w:val="es-MX"/>
      </w:rPr>
      <w:t>33</w:t>
    </w:r>
    <w:r w:rsidRPr="007643EF">
      <w:rPr>
        <w:rFonts w:ascii="HelveticaNeueLT Std Lt" w:eastAsia="Kozuka Gothic Pro B" w:hAnsi="HelveticaNeueLT Std Lt"/>
        <w:color w:val="FFFFFF"/>
        <w:sz w:val="22"/>
        <w:szCs w:val="22"/>
        <w:lang w:val="es-MX"/>
      </w:rPr>
      <w:fldChar w:fldCharType="end"/>
    </w:r>
  </w:p>
  <w:p w14:paraId="5411323A" w14:textId="77777777" w:rsidR="007643EF" w:rsidRPr="00BF6032" w:rsidRDefault="007643EF"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9C63" w14:textId="77777777" w:rsidR="007643EF" w:rsidRPr="00BF6032" w:rsidRDefault="007643EF"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799102A" wp14:editId="660DCB49">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C977D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A3C99EB" wp14:editId="41E9A38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7A2DBE"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B32BBF2" wp14:editId="24610736">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06E9B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95E635B" wp14:editId="7516717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74C60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790D145D" wp14:editId="05D31E1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30D5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452F" w14:textId="77777777" w:rsidR="007643EF" w:rsidRDefault="007643EF">
      <w:r>
        <w:separator/>
      </w:r>
    </w:p>
  </w:footnote>
  <w:footnote w:type="continuationSeparator" w:id="0">
    <w:p w14:paraId="09FCACCB" w14:textId="77777777" w:rsidR="007643EF" w:rsidRDefault="00764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EE16" w14:textId="77777777" w:rsidR="007643EF" w:rsidRDefault="007643EF"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CDBA552" wp14:editId="51620C89">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C1C2" w14:textId="77777777" w:rsidR="007643EF" w:rsidRDefault="007643EF"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620206C4" w14:textId="2BFA7A54" w:rsidR="007643EF" w:rsidRDefault="007643EF"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Estados e Información Contable al 4o. Trimestre 2023</w:t>
                          </w:r>
                        </w:p>
                        <w:p w14:paraId="02CA7E80" w14:textId="77777777" w:rsidR="007643EF" w:rsidRPr="00CB4010" w:rsidRDefault="007643EF"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A552"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ADCC1C2" w14:textId="77777777" w:rsidR="007643EF" w:rsidRDefault="007643EF"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620206C4" w14:textId="2BFA7A54" w:rsidR="007643EF" w:rsidRDefault="007643EF"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Estados e Información Contable al 4o. Trimestre 2023</w:t>
                    </w:r>
                  </w:p>
                  <w:p w14:paraId="02CA7E80" w14:textId="77777777" w:rsidR="007643EF" w:rsidRPr="00CB4010" w:rsidRDefault="007643EF"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3987C421" wp14:editId="287BF018">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2C58176" w14:textId="77777777" w:rsidR="007643EF" w:rsidRDefault="007643EF" w:rsidP="00BF6032">
    <w:pPr>
      <w:pStyle w:val="Encabezado"/>
      <w:tabs>
        <w:tab w:val="left" w:pos="4860"/>
      </w:tabs>
      <w:ind w:right="846"/>
      <w:jc w:val="right"/>
      <w:rPr>
        <w:rFonts w:ascii="Romana BT" w:hAnsi="Romana BT"/>
        <w:b/>
        <w:sz w:val="16"/>
        <w:szCs w:val="16"/>
      </w:rPr>
    </w:pPr>
  </w:p>
  <w:p w14:paraId="6E043992" w14:textId="77777777" w:rsidR="007643EF" w:rsidRPr="00BF6032" w:rsidRDefault="007643EF"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2BC1" w14:textId="77777777" w:rsidR="007643EF" w:rsidRPr="00BF6032" w:rsidRDefault="007643EF"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35B694D9" wp14:editId="3879114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6FC2028"/>
    <w:multiLevelType w:val="hybridMultilevel"/>
    <w:tmpl w:val="76B43CB6"/>
    <w:lvl w:ilvl="0" w:tplc="981278EC">
      <w:start w:val="1"/>
      <w:numFmt w:val="decimal"/>
      <w:lvlText w:val="%1."/>
      <w:lvlJc w:val="left"/>
      <w:pPr>
        <w:ind w:left="360" w:hanging="360"/>
      </w:pPr>
      <w:rPr>
        <w:rFonts w:hint="default"/>
        <w:i w:val="0"/>
        <w:i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30"/>
  </w:num>
  <w:num w:numId="4">
    <w:abstractNumId w:val="27"/>
  </w:num>
  <w:num w:numId="5">
    <w:abstractNumId w:val="8"/>
  </w:num>
  <w:num w:numId="6">
    <w:abstractNumId w:val="10"/>
  </w:num>
  <w:num w:numId="7">
    <w:abstractNumId w:val="26"/>
  </w:num>
  <w:num w:numId="8">
    <w:abstractNumId w:val="4"/>
  </w:num>
  <w:num w:numId="9">
    <w:abstractNumId w:val="20"/>
  </w:num>
  <w:num w:numId="10">
    <w:abstractNumId w:val="9"/>
  </w:num>
  <w:num w:numId="11">
    <w:abstractNumId w:val="22"/>
  </w:num>
  <w:num w:numId="12">
    <w:abstractNumId w:val="33"/>
  </w:num>
  <w:num w:numId="13">
    <w:abstractNumId w:val="3"/>
  </w:num>
  <w:num w:numId="14">
    <w:abstractNumId w:val="2"/>
  </w:num>
  <w:num w:numId="15">
    <w:abstractNumId w:val="16"/>
  </w:num>
  <w:num w:numId="16">
    <w:abstractNumId w:val="35"/>
  </w:num>
  <w:num w:numId="17">
    <w:abstractNumId w:val="31"/>
  </w:num>
  <w:num w:numId="18">
    <w:abstractNumId w:val="34"/>
  </w:num>
  <w:num w:numId="19">
    <w:abstractNumId w:val="32"/>
  </w:num>
  <w:num w:numId="20">
    <w:abstractNumId w:val="17"/>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29"/>
  </w:num>
  <w:num w:numId="26">
    <w:abstractNumId w:val="5"/>
  </w:num>
  <w:num w:numId="27">
    <w:abstractNumId w:val="36"/>
  </w:num>
  <w:num w:numId="28">
    <w:abstractNumId w:val="12"/>
  </w:num>
  <w:num w:numId="29">
    <w:abstractNumId w:val="15"/>
  </w:num>
  <w:num w:numId="30">
    <w:abstractNumId w:val="7"/>
  </w:num>
  <w:num w:numId="31">
    <w:abstractNumId w:val="28"/>
  </w:num>
  <w:num w:numId="32">
    <w:abstractNumId w:val="6"/>
  </w:num>
  <w:num w:numId="33">
    <w:abstractNumId w:val="23"/>
  </w:num>
  <w:num w:numId="34">
    <w:abstractNumId w:val="0"/>
  </w:num>
  <w:num w:numId="35">
    <w:abstractNumId w:val="13"/>
  </w:num>
  <w:num w:numId="36">
    <w:abstractNumId w:val="14"/>
  </w:num>
  <w:num w:numId="37">
    <w:abstractNumId w:val="18"/>
  </w:num>
  <w:num w:numId="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0743"/>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BEC"/>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2B1B"/>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7"/>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1DC2"/>
    <w:rsid w:val="00252225"/>
    <w:rsid w:val="00252B79"/>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4A2"/>
    <w:rsid w:val="00320BAD"/>
    <w:rsid w:val="00321F11"/>
    <w:rsid w:val="00322FD9"/>
    <w:rsid w:val="003230C7"/>
    <w:rsid w:val="003233FA"/>
    <w:rsid w:val="0032436D"/>
    <w:rsid w:val="003266AC"/>
    <w:rsid w:val="00336B8C"/>
    <w:rsid w:val="003416CD"/>
    <w:rsid w:val="003508FC"/>
    <w:rsid w:val="00353C22"/>
    <w:rsid w:val="00355982"/>
    <w:rsid w:val="00357FCC"/>
    <w:rsid w:val="003607A4"/>
    <w:rsid w:val="003608C0"/>
    <w:rsid w:val="003620F3"/>
    <w:rsid w:val="003636AA"/>
    <w:rsid w:val="00363B39"/>
    <w:rsid w:val="00367A32"/>
    <w:rsid w:val="0037040F"/>
    <w:rsid w:val="003713AC"/>
    <w:rsid w:val="00374DC8"/>
    <w:rsid w:val="00377A5E"/>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436D"/>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062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12C9"/>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02F0"/>
    <w:rsid w:val="00632325"/>
    <w:rsid w:val="006326F3"/>
    <w:rsid w:val="00632FA6"/>
    <w:rsid w:val="00634A81"/>
    <w:rsid w:val="00635443"/>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43EF"/>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6C75"/>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495D"/>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4211"/>
    <w:rsid w:val="009A55EF"/>
    <w:rsid w:val="009A5813"/>
    <w:rsid w:val="009A5F80"/>
    <w:rsid w:val="009B1FEF"/>
    <w:rsid w:val="009B288B"/>
    <w:rsid w:val="009B2D61"/>
    <w:rsid w:val="009B49FC"/>
    <w:rsid w:val="009B62BE"/>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A84"/>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417A"/>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4625F"/>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75E"/>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446"/>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1D6E"/>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3FD"/>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499E"/>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532"/>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4B8"/>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29019A58"/>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uiPriority w:val="9"/>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uiPriority w:val="9"/>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uiPriority w:val="9"/>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C16"/>
    <w:rPr>
      <w:sz w:val="28"/>
      <w:szCs w:val="24"/>
      <w:lang w:eastAsia="es-ES"/>
    </w:rPr>
  </w:style>
  <w:style w:type="character" w:customStyle="1" w:styleId="Ttulo2Car">
    <w:name w:val="Título 2 Car"/>
    <w:basedOn w:val="Fuentedeprrafopredeter"/>
    <w:link w:val="Ttulo2"/>
    <w:uiPriority w:val="9"/>
    <w:rsid w:val="00DB1C16"/>
    <w:rPr>
      <w:rFonts w:ascii="Arial" w:hAnsi="Arial"/>
      <w:b/>
      <w:bCs/>
      <w:i/>
      <w:iCs/>
      <w:sz w:val="28"/>
      <w:szCs w:val="28"/>
      <w:lang w:val="es-ES" w:eastAsia="es-ES"/>
    </w:rPr>
  </w:style>
  <w:style w:type="character" w:customStyle="1" w:styleId="Ttulo3Car">
    <w:name w:val="Título 3 Car"/>
    <w:basedOn w:val="Fuentedeprrafopredeter"/>
    <w:link w:val="Ttulo3"/>
    <w:uiPriority w:val="9"/>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paragraph" w:styleId="Encabezado">
    <w:name w:val="header"/>
    <w:basedOn w:val="Normal"/>
    <w:link w:val="EncabezadoCar"/>
    <w:uiPriority w:val="99"/>
    <w:rsid w:val="00624F2B"/>
    <w:pPr>
      <w:tabs>
        <w:tab w:val="center" w:pos="4252"/>
        <w:tab w:val="right" w:pos="8504"/>
      </w:tabs>
    </w:p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paragraph" w:styleId="Piedepgina">
    <w:name w:val="footer"/>
    <w:basedOn w:val="Normal"/>
    <w:link w:val="PiedepginaCar"/>
    <w:uiPriority w:val="99"/>
    <w:rsid w:val="00624F2B"/>
    <w:pPr>
      <w:tabs>
        <w:tab w:val="center" w:pos="4252"/>
        <w:tab w:val="right" w:pos="8504"/>
      </w:tabs>
    </w:p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paragraph" w:styleId="Textoindependiente">
    <w:name w:val="Body Text"/>
    <w:basedOn w:val="Normal"/>
    <w:link w:val="TextoindependienteCar"/>
    <w:uiPriority w:val="99"/>
    <w:rsid w:val="00607018"/>
    <w:pPr>
      <w:jc w:val="both"/>
    </w:pPr>
    <w:rPr>
      <w:lang w:val="es-MX"/>
    </w:rPr>
  </w:style>
  <w:style w:type="character" w:customStyle="1" w:styleId="TextoindependienteCar">
    <w:name w:val="Texto independiente Car"/>
    <w:basedOn w:val="Fuentedeprrafopredeter"/>
    <w:link w:val="Textoindependiente"/>
    <w:uiPriority w:val="99"/>
    <w:rsid w:val="00DB1C16"/>
    <w:rPr>
      <w:rFonts w:ascii="Arial" w:hAnsi="Arial" w:cs="Arial"/>
      <w:iCs/>
      <w:lang w:eastAsia="es-ES"/>
    </w:rPr>
  </w:style>
  <w:style w:type="paragraph" w:styleId="Textodeglobo">
    <w:name w:val="Balloon Text"/>
    <w:basedOn w:val="Normal"/>
    <w:link w:val="TextodegloboCar"/>
    <w:uiPriority w:val="99"/>
    <w:rsid w:val="002453EB"/>
    <w:rPr>
      <w:rFonts w:ascii="Tahoma" w:hAnsi="Tahoma" w:cs="Tahoma"/>
      <w:sz w:val="16"/>
      <w:szCs w:val="16"/>
    </w:rPr>
  </w:style>
  <w:style w:type="character" w:customStyle="1" w:styleId="TextodegloboCar">
    <w:name w:val="Texto de globo Car"/>
    <w:basedOn w:val="Fuentedeprrafopredeter"/>
    <w:link w:val="Textodeglobo"/>
    <w:uiPriority w:val="99"/>
    <w:rsid w:val="00DB1C16"/>
    <w:rPr>
      <w:rFonts w:ascii="Tahoma" w:hAnsi="Tahoma" w:cs="Tahoma"/>
      <w:iCs/>
      <w:sz w:val="16"/>
      <w:szCs w:val="16"/>
      <w:lang w:val="es-ES" w:eastAsia="es-ES"/>
    </w:rPr>
  </w:style>
  <w:style w:type="paragraph" w:styleId="Textoindependiente3">
    <w:name w:val="Body Text 3"/>
    <w:basedOn w:val="Normal"/>
    <w:link w:val="Textoindependiente3Car"/>
    <w:uiPriority w:val="99"/>
    <w:rsid w:val="00F45D1C"/>
    <w:pPr>
      <w:spacing w:after="120"/>
    </w:pPr>
    <w:rPr>
      <w:sz w:val="16"/>
      <w:szCs w:val="16"/>
    </w:rPr>
  </w:style>
  <w:style w:type="character" w:customStyle="1" w:styleId="Textoindependiente3Car">
    <w:name w:val="Texto independiente 3 Car"/>
    <w:basedOn w:val="Fuentedeprrafopredeter"/>
    <w:link w:val="Textoindependiente3"/>
    <w:uiPriority w:val="99"/>
    <w:rsid w:val="00DB1C16"/>
    <w:rPr>
      <w:rFonts w:ascii="Arial" w:hAnsi="Arial" w:cs="Arial"/>
      <w:iCs/>
      <w:sz w:val="16"/>
      <w:szCs w:val="16"/>
      <w:lang w:val="es-ES" w:eastAsia="es-ES"/>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uiPriority w:val="99"/>
    <w:rsid w:val="00CC725B"/>
    <w:pPr>
      <w:spacing w:after="120"/>
      <w:ind w:left="283"/>
    </w:pPr>
    <w:rPr>
      <w:rFonts w:cs="Times New Roman"/>
      <w:iCs w:val="0"/>
      <w:sz w:val="24"/>
      <w:szCs w:val="24"/>
    </w:rPr>
  </w:style>
  <w:style w:type="character" w:customStyle="1" w:styleId="SangradetextonormalCar">
    <w:name w:val="Sangría de texto normal Car"/>
    <w:aliases w:val="Sangría de t. independiente Car"/>
    <w:basedOn w:val="Fuentedeprrafopredeter"/>
    <w:link w:val="Sangradetextonormal"/>
    <w:uiPriority w:val="99"/>
    <w:rsid w:val="00DB1C16"/>
    <w:rPr>
      <w:rFonts w:ascii="Arial" w:hAnsi="Arial"/>
      <w:sz w:val="24"/>
      <w:szCs w:val="24"/>
      <w:lang w:val="es-ES" w:eastAsia="es-ES"/>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377A5E"/>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3204A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1">
    <w:name w:val="Sin lista1"/>
    <w:next w:val="Sinlista"/>
    <w:uiPriority w:val="99"/>
    <w:semiHidden/>
    <w:unhideWhenUsed/>
    <w:rsid w:val="007643EF"/>
  </w:style>
  <w:style w:type="table" w:customStyle="1" w:styleId="Tablaconcuadrcula1">
    <w:name w:val="Tabla con cuadrícula1"/>
    <w:basedOn w:val="Tablanormal"/>
    <w:next w:val="Tablaconcuadrcula"/>
    <w:rsid w:val="0076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7643EF"/>
    <w:rPr>
      <w:rFonts w:ascii="Calibri" w:eastAsia="Calibri" w:hAnsi="Calibri"/>
      <w:color w:val="C5B070"/>
      <w:sz w:val="22"/>
      <w:szCs w:val="22"/>
      <w:lang w:eastAsia="en-US"/>
    </w:rPr>
    <w:tblPr>
      <w:tblStyleRowBandSize w:val="1"/>
      <w:tblStyleColBandSize w:val="1"/>
      <w:tblBorders>
        <w:top w:val="single" w:sz="8" w:space="0" w:color="E3D9BA"/>
        <w:bottom w:val="single" w:sz="8" w:space="0" w:color="E3D9BA"/>
      </w:tblBorders>
    </w:tblPr>
    <w:tblStylePr w:type="firstRow">
      <w:pPr>
        <w:spacing w:before="0" w:after="0" w:line="240" w:lineRule="auto"/>
      </w:pPr>
      <w:rPr>
        <w:b/>
        <w:bCs/>
      </w:rPr>
      <w:tblPr/>
      <w:tcPr>
        <w:tcBorders>
          <w:top w:val="single" w:sz="8" w:space="0" w:color="E3D9BA"/>
          <w:left w:val="nil"/>
          <w:bottom w:val="single" w:sz="8" w:space="0" w:color="E3D9BA"/>
          <w:right w:val="nil"/>
          <w:insideH w:val="nil"/>
          <w:insideV w:val="nil"/>
        </w:tcBorders>
      </w:tcPr>
    </w:tblStylePr>
    <w:tblStylePr w:type="lastRow">
      <w:pPr>
        <w:spacing w:before="0" w:after="0" w:line="240" w:lineRule="auto"/>
      </w:pPr>
      <w:rPr>
        <w:b/>
        <w:bCs/>
      </w:rPr>
      <w:tblPr/>
      <w:tcPr>
        <w:tcBorders>
          <w:top w:val="single" w:sz="8" w:space="0" w:color="E3D9BA"/>
          <w:left w:val="nil"/>
          <w:bottom w:val="single" w:sz="8" w:space="0" w:color="E3D9B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cPr>
    </w:tblStylePr>
    <w:tblStylePr w:type="band1Horz">
      <w:tblPr/>
      <w:tcPr>
        <w:tcBorders>
          <w:left w:val="nil"/>
          <w:right w:val="nil"/>
          <w:insideH w:val="nil"/>
          <w:insideV w:val="nil"/>
        </w:tcBorders>
        <w:shd w:val="clear" w:color="auto" w:fill="F8F5ED"/>
      </w:tcPr>
    </w:tblStylePr>
  </w:style>
  <w:style w:type="table" w:customStyle="1" w:styleId="Tablanormal211">
    <w:name w:val="Tabla normal 211"/>
    <w:basedOn w:val="Tablanormal"/>
    <w:uiPriority w:val="42"/>
    <w:rsid w:val="007643EF"/>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image" Target="media/image51.emf"/><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es.wikipedia.org/wiki/Az%C3%BAcar"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es.wikipedia.org/wiki/Turismo" TargetMode="Externa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yperlink" Target="http://es.wikipedia.org/wiki/%C3%81mbar"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header" Target="header2.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50.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hyperlink" Target="http://es.wikipedia.org/wiki/Miel" TargetMode="Externa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wikipedia.org/wiki/Coffea" TargetMode="Externa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s>
</file>

<file path=word/_rels/header1.xml.rels><?xml version="1.0" encoding="UTF-8" standalone="yes"?>
<Relationships xmlns="http://schemas.openxmlformats.org/package/2006/relationships"><Relationship Id="rId1" Type="http://schemas.openxmlformats.org/officeDocument/2006/relationships/image" Target="media/image52.png"/></Relationships>
</file>

<file path=word/_rels/header2.xml.rels><?xml version="1.0" encoding="UTF-8" standalone="yes"?>
<Relationships xmlns="http://schemas.openxmlformats.org/package/2006/relationships"><Relationship Id="rId1" Type="http://schemas.openxmlformats.org/officeDocument/2006/relationships/image" Target="media/image53.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E6E9-F24C-4AB8-B485-355698C5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8467</Words>
  <Characters>47201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2017-10-24T17:28:00Z</cp:lastPrinted>
  <dcterms:created xsi:type="dcterms:W3CDTF">2024-04-03T21:01:00Z</dcterms:created>
  <dcterms:modified xsi:type="dcterms:W3CDTF">2024-04-03T21:01:00Z</dcterms:modified>
</cp:coreProperties>
</file>