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14:paraId="1C216E67" w14:textId="77777777" w:rsidR="00384C87" w:rsidRDefault="00384C87" w:rsidP="00355D74">
      <w:pPr>
        <w:pStyle w:val="Sinespaciado"/>
      </w:pPr>
      <w:r>
        <w:rPr>
          <w:noProof/>
          <w:lang w:val="en-US"/>
        </w:rPr>
        <mc:AlternateContent>
          <mc:Choice Requires="wps">
            <w:drawing>
              <wp:anchor distT="0" distB="0" distL="114300" distR="114300" simplePos="0" relativeHeight="251652096" behindDoc="0" locked="0" layoutInCell="1" allowOverlap="1" wp14:anchorId="5BEB7737" wp14:editId="73496E64">
                <wp:simplePos x="0" y="0"/>
                <wp:positionH relativeFrom="column">
                  <wp:posOffset>-499745</wp:posOffset>
                </wp:positionH>
                <wp:positionV relativeFrom="paragraph">
                  <wp:posOffset>-720090</wp:posOffset>
                </wp:positionV>
                <wp:extent cx="6610350" cy="647700"/>
                <wp:effectExtent l="0" t="0" r="0" b="0"/>
                <wp:wrapNone/>
                <wp:docPr id="9" name="Rectángulo 5"/>
                <wp:cNvGraphicFramePr/>
                <a:graphic xmlns:a="http://schemas.openxmlformats.org/drawingml/2006/main">
                  <a:graphicData uri="http://schemas.microsoft.com/office/word/2010/wordprocessingShape">
                    <wps:wsp>
                      <wps:cNvSpPr/>
                      <wps:spPr>
                        <a:xfrm>
                          <a:off x="0" y="0"/>
                          <a:ext cx="6610350" cy="6477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ABB1304" id="Rectángulo 5" o:spid="_x0000_s1026" style="position:absolute;margin-left:-39.35pt;margin-top:-56.7pt;width:520.5pt;height:51pt;z-index:251652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" fillcolor="white [3212]" stroked="f" strokeweight="2pt"/>
            </w:pict>
          </mc:Fallback>
        </mc:AlternateContent>
      </w:r>
    </w:p>
    <w:p w14:paraId="49952DCC" w14:textId="77777777" w:rsidR="00384C87" w:rsidRDefault="00384C87" w:rsidP="00384C87">
      <w:pPr>
        <w:rPr>
          <w:lang w:val="es-ES"/>
        </w:rPr>
      </w:pPr>
    </w:p>
    <w:p w14:paraId="7B0AD6C7" w14:textId="77777777" w:rsidR="00384C87" w:rsidRDefault="00384C87" w:rsidP="00384C87">
      <w:pPr>
        <w:rPr>
          <w:lang w:val="es-ES"/>
        </w:rPr>
      </w:pPr>
    </w:p>
    <w:p w14:paraId="69DE912B" w14:textId="77777777" w:rsidR="00384C87" w:rsidRDefault="00384C87" w:rsidP="00384C87">
      <w:pPr>
        <w:rPr>
          <w:lang w:val="es-ES"/>
        </w:rPr>
      </w:pPr>
    </w:p>
    <w:p w14:paraId="1A7408A6" w14:textId="77777777" w:rsidR="00384C87" w:rsidRDefault="00384C87" w:rsidP="00384C87">
      <w:pPr>
        <w:rPr>
          <w:lang w:val="es-ES"/>
        </w:rPr>
      </w:pPr>
    </w:p>
    <w:p w14:paraId="707C7C9A" w14:textId="77777777" w:rsidR="00384C87" w:rsidRDefault="00384C87" w:rsidP="00384C87">
      <w:pPr>
        <w:jc w:val="center"/>
        <w:rPr>
          <w:lang w:val="es-ES"/>
        </w:rPr>
      </w:pPr>
      <w:r>
        <w:rPr>
          <w:noProof/>
          <w:lang w:val="en-US"/>
        </w:rPr>
        <mc:AlternateContent>
          <mc:Choice Requires="wps">
            <w:drawing>
              <wp:anchor distT="0" distB="0" distL="114300" distR="114300" simplePos="0" relativeHeight="251660288" behindDoc="0" locked="0" layoutInCell="1" allowOverlap="1" wp14:anchorId="631CE45E" wp14:editId="6671D5AB">
                <wp:simplePos x="0" y="0"/>
                <wp:positionH relativeFrom="column">
                  <wp:posOffset>-78271</wp:posOffset>
                </wp:positionH>
                <wp:positionV relativeFrom="paragraph">
                  <wp:posOffset>1926727</wp:posOffset>
                </wp:positionV>
                <wp:extent cx="6144178" cy="0"/>
                <wp:effectExtent l="57150" t="38100" r="66675" b="95250"/>
                <wp:wrapNone/>
                <wp:docPr id="4" name="Conector recto 3"/>
                <wp:cNvGraphicFramePr/>
                <a:graphic xmlns:a="http://schemas.openxmlformats.org/drawingml/2006/main">
                  <a:graphicData uri="http://schemas.microsoft.com/office/word/2010/wordprocessingShape">
                    <wps:wsp>
                      <wps:cNvCnPr/>
                      <wps:spPr>
                        <a:xfrm flipV="1">
                          <a:off x="0" y="0"/>
                          <a:ext cx="6144178" cy="0"/>
                        </a:xfrm>
                        <a:prstGeom prst="line">
                          <a:avLst/>
                        </a:prstGeom>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A57674C" id="Conector recto 3" o:spid="_x0000_s1026" style="position:absolute;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5pt,151.7pt" to="477.65pt,15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" strokecolor="#c0504d [3205]" strokeweight="3pt">
                <v:shadow on="t" color="black" opacity="22937f" origin=",.5" offset="0,.63889mm"/>
              </v:line>
            </w:pict>
          </mc:Fallback>
        </mc:AlternateContent>
      </w:r>
      <w:r w:rsidRPr="001110E0">
        <w:rPr>
          <w:noProof/>
          <w:lang w:val="en-US"/>
        </w:rPr>
        <w:drawing>
          <wp:inline distT="0" distB="0" distL="0" distR="0" wp14:anchorId="381EF410" wp14:editId="1685D5B8">
            <wp:extent cx="4667416" cy="1772920"/>
            <wp:effectExtent l="0" t="0" r="0" b="0"/>
            <wp:docPr id="7" name="Imagen 1">
              <a:extLst xmlns:a="http://schemas.openxmlformats.org/drawingml/2006/main">
                <a:ext uri="{FF2B5EF4-FFF2-40B4-BE49-F238E27FC236}">
                  <a16:creationId xmlns:a16="http://schemas.microsoft.com/office/drawing/2014/main" id="{F0910E86-FC4F-98D0-BFC7-D1CB201F32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F0910E86-FC4F-98D0-BFC7-D1CB201F3298}"/>
                        </a:ext>
                      </a:extLst>
                    </pic:cNvPr>
                    <pic:cNvPicPr>
                      <a:picLocks noChangeAspect="1"/>
                    </pic:cNvPicPr>
                  </pic:nvPicPr>
                  <pic:blipFill>
                    <a:blip r:embed="rId8">
                      <a:clrChange>
                        <a:clrFrom>
                          <a:srgbClr val="F6F6F6"/>
                        </a:clrFrom>
                        <a:clrTo>
                          <a:srgbClr val="F6F6F6">
                            <a:alpha val="0"/>
                          </a:srgbClr>
                        </a:clrTo>
                      </a:clrChange>
                      <a:extLst>
                        <a:ext uri="{28A0092B-C50C-407E-A947-70E740481C1C}">
                          <a14:useLocalDpi xmlns:a14="http://schemas.microsoft.com/office/drawing/2010/main" val="0"/>
                        </a:ext>
                      </a:extLst>
                    </a:blip>
                    <a:stretch>
                      <a:fillRect/>
                    </a:stretch>
                  </pic:blipFill>
                  <pic:spPr>
                    <a:xfrm>
                      <a:off x="0" y="0"/>
                      <a:ext cx="4763439" cy="1809395"/>
                    </a:xfrm>
                    <a:prstGeom prst="rect">
                      <a:avLst/>
                    </a:prstGeom>
                  </pic:spPr>
                </pic:pic>
              </a:graphicData>
            </a:graphic>
          </wp:inline>
        </w:drawing>
      </w:r>
    </w:p>
    <w:p w14:paraId="72C517E7" w14:textId="77777777" w:rsidR="00384C87" w:rsidRDefault="00384C87" w:rsidP="00384C87">
      <w:pPr>
        <w:rPr>
          <w:lang w:val="es-ES"/>
        </w:rPr>
      </w:pPr>
    </w:p>
    <w:p w14:paraId="0E32F1C8" w14:textId="77777777" w:rsidR="00384C87" w:rsidRPr="00883074" w:rsidRDefault="00384C87" w:rsidP="00384C87">
      <w:pPr>
        <w:jc w:val="center"/>
        <w:rPr>
          <w:rFonts w:ascii="Century Gothic" w:hAnsi="Century Gothic"/>
          <w:b/>
          <w:lang w:val="es-ES"/>
        </w:rPr>
      </w:pPr>
      <w:r>
        <w:rPr>
          <w:rFonts w:ascii="Century Gothic" w:hAnsi="Century Gothic"/>
          <w:b/>
          <w:sz w:val="48"/>
          <w:lang w:val="es-ES"/>
        </w:rPr>
        <w:t xml:space="preserve">Proyecto de </w:t>
      </w:r>
      <w:r w:rsidRPr="00883074">
        <w:rPr>
          <w:rFonts w:ascii="Century Gothic" w:hAnsi="Century Gothic"/>
          <w:b/>
          <w:sz w:val="48"/>
          <w:lang w:val="es-ES"/>
        </w:rPr>
        <w:t>Presupuesto de Egresos 2025</w:t>
      </w:r>
    </w:p>
    <w:p w14:paraId="537238AE" w14:textId="77777777" w:rsidR="00384C87" w:rsidRDefault="00384C87" w:rsidP="00384C87">
      <w:pPr>
        <w:rPr>
          <w:lang w:val="es-ES"/>
        </w:rPr>
      </w:pPr>
    </w:p>
    <w:p w14:paraId="5FF55FCC" w14:textId="77777777" w:rsidR="00384C87" w:rsidRPr="00883074" w:rsidRDefault="00384C87" w:rsidP="00384C87">
      <w:pPr>
        <w:jc w:val="center"/>
        <w:rPr>
          <w:rFonts w:ascii="Century Gothic" w:hAnsi="Century Gothic"/>
          <w:b/>
          <w:sz w:val="32"/>
          <w:lang w:val="es-ES"/>
        </w:rPr>
      </w:pPr>
      <w:r w:rsidRPr="009B484C">
        <w:rPr>
          <w:noProof/>
          <w:color w:val="00B050"/>
          <w:lang w:val="en-US"/>
        </w:rPr>
        <mc:AlternateContent>
          <mc:Choice Requires="wps">
            <w:drawing>
              <wp:anchor distT="0" distB="0" distL="114300" distR="114300" simplePos="0" relativeHeight="251661312" behindDoc="0" locked="0" layoutInCell="1" allowOverlap="1" wp14:anchorId="2764A765" wp14:editId="5B76A655">
                <wp:simplePos x="0" y="0"/>
                <wp:positionH relativeFrom="column">
                  <wp:posOffset>1501140</wp:posOffset>
                </wp:positionH>
                <wp:positionV relativeFrom="paragraph">
                  <wp:posOffset>393065</wp:posOffset>
                </wp:positionV>
                <wp:extent cx="2800350" cy="0"/>
                <wp:effectExtent l="57150" t="38100" r="57150" b="95250"/>
                <wp:wrapNone/>
                <wp:docPr id="6" name="Conector recto 6"/>
                <wp:cNvGraphicFramePr/>
                <a:graphic xmlns:a="http://schemas.openxmlformats.org/drawingml/2006/main">
                  <a:graphicData uri="http://schemas.microsoft.com/office/word/2010/wordprocessingShape">
                    <wps:wsp>
                      <wps:cNvCnPr/>
                      <wps:spPr>
                        <a:xfrm>
                          <a:off x="0" y="0"/>
                          <a:ext cx="2800350" cy="0"/>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16EBD84" id="Conector recto 6"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8.2pt,30.95pt" to="338.7pt,3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" strokecolor="#00b050" strokeweight="3pt">
                <v:shadow on="t" color="black" opacity="22937f" origin=",.5" offset="0,.63889mm"/>
              </v:line>
            </w:pict>
          </mc:Fallback>
        </mc:AlternateContent>
      </w:r>
      <w:r>
        <w:rPr>
          <w:rFonts w:ascii="Century Gothic" w:hAnsi="Century Gothic"/>
          <w:b/>
          <w:sz w:val="32"/>
          <w:lang w:val="es-ES"/>
        </w:rPr>
        <w:t>Marco Macroeconómico</w:t>
      </w:r>
    </w:p>
    <w:p w14:paraId="63690739" w14:textId="77777777" w:rsidR="00384C87" w:rsidRDefault="00384C87" w:rsidP="00384C87">
      <w:pPr>
        <w:rPr>
          <w:lang w:val="es-ES"/>
        </w:rPr>
      </w:pPr>
    </w:p>
    <w:p w14:paraId="4F47080C" w14:textId="77777777" w:rsidR="00384C87" w:rsidRDefault="00384C87" w:rsidP="00384C87">
      <w:pPr>
        <w:spacing w:after="0" w:line="240" w:lineRule="auto"/>
        <w:jc w:val="center"/>
        <w:rPr>
          <w:b/>
          <w:color w:val="FFFFFF" w:themeColor="background1"/>
          <w:sz w:val="36"/>
          <w:lang w:val="es-ES"/>
        </w:rPr>
      </w:pPr>
    </w:p>
    <w:p w14:paraId="730C953D" w14:textId="77777777" w:rsidR="00384C87" w:rsidRDefault="00384C87" w:rsidP="00384C87">
      <w:pPr>
        <w:spacing w:after="0" w:line="240" w:lineRule="auto"/>
        <w:jc w:val="center"/>
        <w:rPr>
          <w:b/>
          <w:color w:val="FFFFFF" w:themeColor="background1"/>
          <w:sz w:val="36"/>
          <w:lang w:val="es-ES"/>
        </w:rPr>
      </w:pPr>
    </w:p>
    <w:p w14:paraId="44C6400B" w14:textId="77777777" w:rsidR="00384C87" w:rsidRDefault="00384C87" w:rsidP="00384C87">
      <w:pPr>
        <w:rPr>
          <w:rFonts w:ascii="Century Gothic" w:hAnsi="Century Gothic"/>
          <w:b/>
        </w:rPr>
      </w:pPr>
    </w:p>
    <w:p w14:paraId="0493BBA5" w14:textId="77777777" w:rsidR="00384C87" w:rsidRDefault="00384C87" w:rsidP="00384C87">
      <w:pPr>
        <w:rPr>
          <w:rFonts w:ascii="Century Gothic" w:hAnsi="Century Gothic"/>
          <w:b/>
        </w:rPr>
      </w:pPr>
    </w:p>
    <w:p w14:paraId="32924DA8" w14:textId="77777777" w:rsidR="00384C87" w:rsidRDefault="00384C87" w:rsidP="00384C87">
      <w:pPr>
        <w:rPr>
          <w:rFonts w:ascii="Century Gothic" w:hAnsi="Century Gothic"/>
          <w:b/>
        </w:rPr>
      </w:pPr>
    </w:p>
    <w:p w14:paraId="31BA0005" w14:textId="5F3DB9AE" w:rsidR="00384C87" w:rsidRDefault="00384C87" w:rsidP="00384C87">
      <w:pPr>
        <w:rPr>
          <w:rFonts w:ascii="Century Gothic" w:hAnsi="Century Gothic"/>
          <w:b/>
        </w:rPr>
      </w:pPr>
    </w:p>
    <w:p w14:paraId="479F9F6D" w14:textId="5E093C6C" w:rsidR="00384C87" w:rsidRDefault="00F678B2" w:rsidP="00384C87">
      <w:pPr>
        <w:rPr>
          <w:rFonts w:ascii="Century Gothic" w:hAnsi="Century Gothic"/>
          <w:b/>
        </w:rPr>
      </w:pPr>
      <w:r>
        <w:rPr>
          <w:rFonts w:ascii="Century Gothic" w:hAnsi="Century Gothic"/>
          <w:b/>
          <w:noProof/>
          <w:lang w:val="en-US"/>
        </w:rPr>
        <mc:AlternateContent>
          <mc:Choice Requires="wps">
            <w:drawing>
              <wp:anchor distT="0" distB="0" distL="114300" distR="114300" simplePos="0" relativeHeight="251659264" behindDoc="0" locked="0" layoutInCell="1" allowOverlap="1" wp14:anchorId="71D7E025" wp14:editId="3DE4B5E9">
                <wp:simplePos x="0" y="0"/>
                <wp:positionH relativeFrom="column">
                  <wp:posOffset>-244475</wp:posOffset>
                </wp:positionH>
                <wp:positionV relativeFrom="paragraph">
                  <wp:posOffset>171923</wp:posOffset>
                </wp:positionV>
                <wp:extent cx="6610350" cy="647700"/>
                <wp:effectExtent l="0" t="0" r="0" b="0"/>
                <wp:wrapNone/>
                <wp:docPr id="5" name="Rectángulo 5"/>
                <wp:cNvGraphicFramePr/>
                <a:graphic xmlns:a="http://schemas.openxmlformats.org/drawingml/2006/main">
                  <a:graphicData uri="http://schemas.microsoft.com/office/word/2010/wordprocessingShape">
                    <wps:wsp>
                      <wps:cNvSpPr/>
                      <wps:spPr>
                        <a:xfrm>
                          <a:off x="0" y="0"/>
                          <a:ext cx="6610350" cy="6477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C1A35C9" id="Rectángulo 5" o:spid="_x0000_s1026" style="position:absolute;margin-left:-19.25pt;margin-top:13.55pt;width:520.5pt;height:51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" fillcolor="white [3212]" stroked="f" strokeweight="2pt"/>
            </w:pict>
          </mc:Fallback>
        </mc:AlternateContent>
      </w:r>
    </w:p>
    <w:p w14:paraId="51B3E9BF" w14:textId="77777777" w:rsidR="00CE1539" w:rsidRPr="00384C87" w:rsidRDefault="00CE1539" w:rsidP="00CE1539">
      <w:pPr>
        <w:rPr>
          <w:rFonts w:ascii="Century Gothic" w:hAnsi="Century Gothic"/>
          <w:b/>
        </w:rPr>
      </w:pPr>
      <w:r w:rsidRPr="00384C87">
        <w:rPr>
          <w:rFonts w:ascii="Century Gothic" w:hAnsi="Century Gothic"/>
          <w:b/>
        </w:rPr>
        <w:lastRenderedPageBreak/>
        <w:t>I. Marco Macroeconómico</w:t>
      </w:r>
    </w:p>
    <w:p w14:paraId="7E1B135C" w14:textId="77777777" w:rsidR="00F459A1" w:rsidRPr="00384C87" w:rsidRDefault="00DE1F12" w:rsidP="00FF6BC2">
      <w:pPr>
        <w:spacing w:after="160" w:line="360" w:lineRule="auto"/>
        <w:jc w:val="both"/>
        <w:rPr>
          <w:rFonts w:ascii="Century Gothic" w:hAnsi="Century Gothic"/>
        </w:rPr>
      </w:pPr>
      <w:r w:rsidRPr="00384C87">
        <w:rPr>
          <w:rFonts w:ascii="Century Gothic" w:hAnsi="Century Gothic"/>
        </w:rPr>
        <w:t xml:space="preserve">Con el propósito de </w:t>
      </w:r>
      <w:r w:rsidR="008D7925" w:rsidRPr="00384C87">
        <w:rPr>
          <w:rFonts w:ascii="Century Gothic" w:hAnsi="Century Gothic"/>
        </w:rPr>
        <w:t xml:space="preserve">dar a conocer </w:t>
      </w:r>
      <w:r w:rsidR="00EA74EF" w:rsidRPr="00384C87">
        <w:rPr>
          <w:rFonts w:ascii="Century Gothic" w:hAnsi="Century Gothic"/>
        </w:rPr>
        <w:t xml:space="preserve">el escenario </w:t>
      </w:r>
      <w:r w:rsidR="009457BA" w:rsidRPr="00384C87">
        <w:rPr>
          <w:rFonts w:ascii="Century Gothic" w:hAnsi="Century Gothic"/>
        </w:rPr>
        <w:t>macro</w:t>
      </w:r>
      <w:r w:rsidR="008D7925" w:rsidRPr="00384C87">
        <w:rPr>
          <w:rFonts w:ascii="Century Gothic" w:hAnsi="Century Gothic"/>
        </w:rPr>
        <w:t>económic</w:t>
      </w:r>
      <w:r w:rsidR="00EA74EF" w:rsidRPr="00384C87">
        <w:rPr>
          <w:rFonts w:ascii="Century Gothic" w:hAnsi="Century Gothic"/>
        </w:rPr>
        <w:t>o</w:t>
      </w:r>
      <w:r w:rsidR="008D7925" w:rsidRPr="00384C87">
        <w:rPr>
          <w:rFonts w:ascii="Century Gothic" w:hAnsi="Century Gothic"/>
        </w:rPr>
        <w:t xml:space="preserve"> en que </w:t>
      </w:r>
      <w:r w:rsidR="003C5F2F" w:rsidRPr="00384C87">
        <w:rPr>
          <w:rFonts w:ascii="Century Gothic" w:hAnsi="Century Gothic"/>
        </w:rPr>
        <w:t xml:space="preserve">se desenvolverá </w:t>
      </w:r>
      <w:r w:rsidR="008D7925" w:rsidRPr="00384C87">
        <w:rPr>
          <w:rFonts w:ascii="Century Gothic" w:hAnsi="Century Gothic"/>
        </w:rPr>
        <w:t xml:space="preserve">el gasto </w:t>
      </w:r>
      <w:r w:rsidR="00D55A0D" w:rsidRPr="00384C87">
        <w:rPr>
          <w:rFonts w:ascii="Century Gothic" w:hAnsi="Century Gothic"/>
        </w:rPr>
        <w:t xml:space="preserve">público </w:t>
      </w:r>
      <w:r w:rsidR="008D7925" w:rsidRPr="00384C87">
        <w:rPr>
          <w:rFonts w:ascii="Century Gothic" w:hAnsi="Century Gothic"/>
        </w:rPr>
        <w:t xml:space="preserve">para el ejercicio </w:t>
      </w:r>
      <w:r w:rsidR="00134C1F" w:rsidRPr="00384C87">
        <w:rPr>
          <w:rFonts w:ascii="Century Gothic" w:hAnsi="Century Gothic"/>
        </w:rPr>
        <w:t xml:space="preserve">fiscal de </w:t>
      </w:r>
      <w:r w:rsidR="008D7925" w:rsidRPr="00384C87">
        <w:rPr>
          <w:rFonts w:ascii="Century Gothic" w:hAnsi="Century Gothic"/>
        </w:rPr>
        <w:t xml:space="preserve">2025, se describe a continuación </w:t>
      </w:r>
      <w:r w:rsidR="00EA74EF" w:rsidRPr="00384C87">
        <w:rPr>
          <w:rFonts w:ascii="Century Gothic" w:hAnsi="Century Gothic"/>
        </w:rPr>
        <w:t xml:space="preserve">el panorama actual </w:t>
      </w:r>
      <w:r w:rsidR="00FE55B6" w:rsidRPr="00384C87">
        <w:rPr>
          <w:rFonts w:ascii="Century Gothic" w:hAnsi="Century Gothic"/>
        </w:rPr>
        <w:t xml:space="preserve">y </w:t>
      </w:r>
      <w:r w:rsidR="00EA74EF" w:rsidRPr="00384C87">
        <w:rPr>
          <w:rFonts w:ascii="Century Gothic" w:hAnsi="Century Gothic"/>
        </w:rPr>
        <w:t xml:space="preserve">las </w:t>
      </w:r>
      <w:r w:rsidR="00FE55B6" w:rsidRPr="00384C87">
        <w:rPr>
          <w:rFonts w:ascii="Century Gothic" w:hAnsi="Century Gothic"/>
        </w:rPr>
        <w:t xml:space="preserve">expectativas </w:t>
      </w:r>
      <w:r w:rsidR="00EA74EF" w:rsidRPr="00384C87">
        <w:rPr>
          <w:rFonts w:ascii="Century Gothic" w:hAnsi="Century Gothic"/>
        </w:rPr>
        <w:t xml:space="preserve">futuras de las </w:t>
      </w:r>
      <w:r w:rsidR="008D7925" w:rsidRPr="00384C87">
        <w:rPr>
          <w:rFonts w:ascii="Century Gothic" w:hAnsi="Century Gothic"/>
        </w:rPr>
        <w:t>variables económicas a nivel internacional, nacional y estatal, tales como el PIB, inflación, tipo de cambio, entre otros</w:t>
      </w:r>
      <w:r w:rsidR="00F459A1" w:rsidRPr="00384C87">
        <w:rPr>
          <w:rFonts w:ascii="Century Gothic" w:hAnsi="Century Gothic"/>
        </w:rPr>
        <w:t>. No</w:t>
      </w:r>
      <w:r w:rsidR="008D7925" w:rsidRPr="00384C87">
        <w:rPr>
          <w:rFonts w:ascii="Century Gothic" w:hAnsi="Century Gothic"/>
        </w:rPr>
        <w:t xml:space="preserve"> obstante, cabe </w:t>
      </w:r>
      <w:r w:rsidR="00F459A1" w:rsidRPr="00384C87">
        <w:rPr>
          <w:rFonts w:ascii="Century Gothic" w:hAnsi="Century Gothic"/>
        </w:rPr>
        <w:t>aclarar</w:t>
      </w:r>
      <w:r w:rsidR="005240A3" w:rsidRPr="00384C87">
        <w:rPr>
          <w:rFonts w:ascii="Century Gothic" w:hAnsi="Century Gothic"/>
        </w:rPr>
        <w:t xml:space="preserve"> </w:t>
      </w:r>
      <w:r w:rsidR="008D7925" w:rsidRPr="00384C87">
        <w:rPr>
          <w:rFonts w:ascii="Century Gothic" w:hAnsi="Century Gothic"/>
        </w:rPr>
        <w:t xml:space="preserve">que el gasto público </w:t>
      </w:r>
      <w:r w:rsidR="00FE55B6" w:rsidRPr="00384C87">
        <w:rPr>
          <w:rFonts w:ascii="Century Gothic" w:hAnsi="Century Gothic"/>
        </w:rPr>
        <w:t xml:space="preserve">no es un factor determinante del </w:t>
      </w:r>
      <w:r w:rsidR="008D7925" w:rsidRPr="00384C87">
        <w:rPr>
          <w:rFonts w:ascii="Century Gothic" w:hAnsi="Century Gothic"/>
        </w:rPr>
        <w:t xml:space="preserve">crecimiento económico </w:t>
      </w:r>
      <w:r w:rsidR="00D55A0D" w:rsidRPr="00384C87">
        <w:rPr>
          <w:rFonts w:ascii="Century Gothic" w:hAnsi="Century Gothic"/>
        </w:rPr>
        <w:t xml:space="preserve">a corto </w:t>
      </w:r>
      <w:r w:rsidR="00857D37" w:rsidRPr="00384C87">
        <w:rPr>
          <w:rFonts w:ascii="Century Gothic" w:hAnsi="Century Gothic"/>
        </w:rPr>
        <w:t>plazo,</w:t>
      </w:r>
      <w:r w:rsidR="00F459A1" w:rsidRPr="00384C87">
        <w:rPr>
          <w:rFonts w:ascii="Century Gothic" w:hAnsi="Century Gothic"/>
        </w:rPr>
        <w:t xml:space="preserve"> </w:t>
      </w:r>
      <w:r w:rsidR="004067C0" w:rsidRPr="00384C87">
        <w:rPr>
          <w:rFonts w:ascii="Century Gothic" w:hAnsi="Century Gothic"/>
        </w:rPr>
        <w:t>s</w:t>
      </w:r>
      <w:r w:rsidR="00FE55B6" w:rsidRPr="00384C87">
        <w:rPr>
          <w:rFonts w:ascii="Century Gothic" w:hAnsi="Century Gothic"/>
        </w:rPr>
        <w:t>ino que</w:t>
      </w:r>
      <w:r w:rsidR="00D55A0D" w:rsidRPr="00384C87">
        <w:rPr>
          <w:rFonts w:ascii="Century Gothic" w:hAnsi="Century Gothic"/>
        </w:rPr>
        <w:t xml:space="preserve"> </w:t>
      </w:r>
      <w:r w:rsidR="004067C0" w:rsidRPr="00384C87">
        <w:rPr>
          <w:rFonts w:ascii="Century Gothic" w:hAnsi="Century Gothic"/>
        </w:rPr>
        <w:t xml:space="preserve">intervienen </w:t>
      </w:r>
      <w:r w:rsidR="00F459A1" w:rsidRPr="00384C87">
        <w:rPr>
          <w:rFonts w:ascii="Century Gothic" w:hAnsi="Century Gothic"/>
        </w:rPr>
        <w:t>más</w:t>
      </w:r>
      <w:r w:rsidR="004067C0" w:rsidRPr="00384C87">
        <w:rPr>
          <w:rFonts w:ascii="Century Gothic" w:hAnsi="Century Gothic"/>
        </w:rPr>
        <w:t xml:space="preserve"> factores </w:t>
      </w:r>
      <w:r w:rsidR="00D55A0D" w:rsidRPr="00384C87">
        <w:rPr>
          <w:rFonts w:ascii="Century Gothic" w:hAnsi="Century Gothic"/>
        </w:rPr>
        <w:t xml:space="preserve">cuyos </w:t>
      </w:r>
      <w:r w:rsidR="00EA74EF" w:rsidRPr="00384C87">
        <w:rPr>
          <w:rFonts w:ascii="Century Gothic" w:hAnsi="Century Gothic"/>
        </w:rPr>
        <w:t>r</w:t>
      </w:r>
      <w:r w:rsidR="00FE55B6" w:rsidRPr="00384C87">
        <w:rPr>
          <w:rFonts w:ascii="Century Gothic" w:hAnsi="Century Gothic"/>
        </w:rPr>
        <w:t xml:space="preserve">esultados </w:t>
      </w:r>
      <w:r w:rsidR="00EA74EF" w:rsidRPr="00384C87">
        <w:rPr>
          <w:rFonts w:ascii="Century Gothic" w:hAnsi="Century Gothic"/>
        </w:rPr>
        <w:t>pueden reflejarse a</w:t>
      </w:r>
      <w:r w:rsidR="00FE55B6" w:rsidRPr="00384C87">
        <w:rPr>
          <w:rFonts w:ascii="Century Gothic" w:hAnsi="Century Gothic"/>
        </w:rPr>
        <w:t xml:space="preserve"> largo plazo</w:t>
      </w:r>
      <w:r w:rsidR="00EA74EF" w:rsidRPr="00384C87">
        <w:rPr>
          <w:rFonts w:ascii="Century Gothic" w:hAnsi="Century Gothic"/>
        </w:rPr>
        <w:t xml:space="preserve">; por </w:t>
      </w:r>
      <w:r w:rsidR="00857D37" w:rsidRPr="00384C87">
        <w:rPr>
          <w:rFonts w:ascii="Century Gothic" w:hAnsi="Century Gothic"/>
        </w:rPr>
        <w:t>consiguiente,</w:t>
      </w:r>
      <w:r w:rsidR="00EA74EF" w:rsidRPr="00384C87">
        <w:rPr>
          <w:rFonts w:ascii="Century Gothic" w:hAnsi="Century Gothic"/>
        </w:rPr>
        <w:t xml:space="preserve"> el gasto también está supeditado al </w:t>
      </w:r>
      <w:r w:rsidR="00F459A1" w:rsidRPr="00384C87">
        <w:rPr>
          <w:rFonts w:ascii="Century Gothic" w:hAnsi="Century Gothic"/>
        </w:rPr>
        <w:t>escenario</w:t>
      </w:r>
      <w:r w:rsidR="00EA74EF" w:rsidRPr="00384C87">
        <w:rPr>
          <w:rFonts w:ascii="Century Gothic" w:hAnsi="Century Gothic"/>
        </w:rPr>
        <w:t xml:space="preserve"> económico dado que un efecto positivo en la economía puede </w:t>
      </w:r>
      <w:r w:rsidR="00134C1F" w:rsidRPr="00384C87">
        <w:rPr>
          <w:rFonts w:ascii="Century Gothic" w:hAnsi="Century Gothic"/>
        </w:rPr>
        <w:t>fa</w:t>
      </w:r>
      <w:r w:rsidR="00EA74EF" w:rsidRPr="00384C87">
        <w:rPr>
          <w:rFonts w:ascii="Century Gothic" w:hAnsi="Century Gothic"/>
        </w:rPr>
        <w:t>vor</w:t>
      </w:r>
      <w:r w:rsidR="00134C1F" w:rsidRPr="00384C87">
        <w:rPr>
          <w:rFonts w:ascii="Century Gothic" w:hAnsi="Century Gothic"/>
        </w:rPr>
        <w:t>ecer</w:t>
      </w:r>
      <w:r w:rsidR="00EA74EF" w:rsidRPr="00384C87">
        <w:rPr>
          <w:rFonts w:ascii="Century Gothic" w:hAnsi="Century Gothic"/>
        </w:rPr>
        <w:t xml:space="preserve"> </w:t>
      </w:r>
      <w:r w:rsidR="00F459A1" w:rsidRPr="00384C87">
        <w:rPr>
          <w:rFonts w:ascii="Century Gothic" w:hAnsi="Century Gothic"/>
        </w:rPr>
        <w:t xml:space="preserve">a incrementar su desempeño. </w:t>
      </w:r>
    </w:p>
    <w:p w14:paraId="6FC29B7E" w14:textId="77777777" w:rsidR="003934DA" w:rsidRPr="00384C87" w:rsidRDefault="00EA74EF" w:rsidP="00FF6BC2">
      <w:pPr>
        <w:spacing w:after="160" w:line="360" w:lineRule="auto"/>
        <w:jc w:val="both"/>
        <w:rPr>
          <w:rFonts w:ascii="Century Gothic" w:hAnsi="Century Gothic"/>
        </w:rPr>
      </w:pPr>
      <w:r w:rsidRPr="00384C87">
        <w:rPr>
          <w:rFonts w:ascii="Century Gothic" w:hAnsi="Century Gothic"/>
        </w:rPr>
        <w:t xml:space="preserve">Con base a lo anterior </w:t>
      </w:r>
      <w:r w:rsidR="00F459A1" w:rsidRPr="00384C87">
        <w:rPr>
          <w:rFonts w:ascii="Century Gothic" w:hAnsi="Century Gothic"/>
        </w:rPr>
        <w:t xml:space="preserve">es preciso </w:t>
      </w:r>
      <w:r w:rsidRPr="00384C87">
        <w:rPr>
          <w:rFonts w:ascii="Century Gothic" w:hAnsi="Century Gothic"/>
        </w:rPr>
        <w:t xml:space="preserve">analizar la situación económica prevaleciente a nivel internacional y </w:t>
      </w:r>
      <w:r w:rsidR="00C3749A" w:rsidRPr="00384C87">
        <w:rPr>
          <w:rFonts w:ascii="Century Gothic" w:hAnsi="Century Gothic"/>
        </w:rPr>
        <w:t xml:space="preserve">las proyecciones que </w:t>
      </w:r>
      <w:r w:rsidR="00F459A1" w:rsidRPr="00384C87">
        <w:rPr>
          <w:rFonts w:ascii="Century Gothic" w:hAnsi="Century Gothic"/>
        </w:rPr>
        <w:t xml:space="preserve">las financieras como </w:t>
      </w:r>
      <w:r w:rsidRPr="00384C87">
        <w:rPr>
          <w:rFonts w:ascii="Century Gothic" w:hAnsi="Century Gothic"/>
        </w:rPr>
        <w:t xml:space="preserve">el </w:t>
      </w:r>
      <w:r w:rsidR="003934DA" w:rsidRPr="00384C87">
        <w:rPr>
          <w:rFonts w:ascii="Century Gothic" w:hAnsi="Century Gothic"/>
        </w:rPr>
        <w:t>F</w:t>
      </w:r>
      <w:r w:rsidRPr="00384C87">
        <w:rPr>
          <w:rFonts w:ascii="Century Gothic" w:hAnsi="Century Gothic"/>
        </w:rPr>
        <w:t>ondo Monetario Internacion</w:t>
      </w:r>
      <w:r w:rsidR="003934DA" w:rsidRPr="00384C87">
        <w:rPr>
          <w:rFonts w:ascii="Century Gothic" w:hAnsi="Century Gothic"/>
        </w:rPr>
        <w:t>al</w:t>
      </w:r>
      <w:r w:rsidR="00D56C61" w:rsidRPr="00384C87">
        <w:rPr>
          <w:rFonts w:ascii="Century Gothic" w:hAnsi="Century Gothic"/>
        </w:rPr>
        <w:t>,</w:t>
      </w:r>
      <w:r w:rsidR="003934DA" w:rsidRPr="00384C87">
        <w:rPr>
          <w:rFonts w:ascii="Century Gothic" w:hAnsi="Century Gothic"/>
        </w:rPr>
        <w:t xml:space="preserve"> el Banco Mundial</w:t>
      </w:r>
      <w:r w:rsidR="00D56C61" w:rsidRPr="00384C87">
        <w:rPr>
          <w:rFonts w:ascii="Century Gothic" w:hAnsi="Century Gothic"/>
        </w:rPr>
        <w:t>, entre otros,</w:t>
      </w:r>
      <w:r w:rsidR="003934DA" w:rsidRPr="00384C87">
        <w:rPr>
          <w:rFonts w:ascii="Century Gothic" w:hAnsi="Century Gothic"/>
        </w:rPr>
        <w:t xml:space="preserve"> </w:t>
      </w:r>
      <w:r w:rsidR="00F459A1" w:rsidRPr="00384C87">
        <w:rPr>
          <w:rFonts w:ascii="Century Gothic" w:hAnsi="Century Gothic"/>
        </w:rPr>
        <w:t xml:space="preserve">proyectan </w:t>
      </w:r>
      <w:r w:rsidR="00D55A0D" w:rsidRPr="00384C87">
        <w:rPr>
          <w:rFonts w:ascii="Century Gothic" w:hAnsi="Century Gothic"/>
        </w:rPr>
        <w:t xml:space="preserve">para conocer la situación </w:t>
      </w:r>
      <w:r w:rsidR="00F459A1" w:rsidRPr="00384C87">
        <w:rPr>
          <w:rFonts w:ascii="Century Gothic" w:hAnsi="Century Gothic"/>
        </w:rPr>
        <w:t>del</w:t>
      </w:r>
      <w:r w:rsidR="00F25E8B" w:rsidRPr="00384C87">
        <w:rPr>
          <w:rFonts w:ascii="Century Gothic" w:hAnsi="Century Gothic"/>
        </w:rPr>
        <w:t xml:space="preserve"> </w:t>
      </w:r>
      <w:r w:rsidR="00D55A0D" w:rsidRPr="00384C87">
        <w:rPr>
          <w:rFonts w:ascii="Century Gothic" w:hAnsi="Century Gothic"/>
        </w:rPr>
        <w:t xml:space="preserve">2024 y las perspectivas de las economías </w:t>
      </w:r>
      <w:r w:rsidR="00F459A1" w:rsidRPr="00384C87">
        <w:rPr>
          <w:rFonts w:ascii="Century Gothic" w:hAnsi="Century Gothic"/>
        </w:rPr>
        <w:t xml:space="preserve">mundiales </w:t>
      </w:r>
      <w:r w:rsidR="00D55A0D" w:rsidRPr="00384C87">
        <w:rPr>
          <w:rFonts w:ascii="Century Gothic" w:hAnsi="Century Gothic"/>
        </w:rPr>
        <w:t>para 2025</w:t>
      </w:r>
      <w:r w:rsidR="00F459A1" w:rsidRPr="00384C87">
        <w:rPr>
          <w:rFonts w:ascii="Century Gothic" w:hAnsi="Century Gothic"/>
        </w:rPr>
        <w:t xml:space="preserve">, sobre todo </w:t>
      </w:r>
      <w:r w:rsidR="0085361A" w:rsidRPr="00384C87">
        <w:rPr>
          <w:rFonts w:ascii="Century Gothic" w:hAnsi="Century Gothic"/>
        </w:rPr>
        <w:t xml:space="preserve">que ha sido </w:t>
      </w:r>
      <w:r w:rsidR="00F459A1" w:rsidRPr="00384C87">
        <w:rPr>
          <w:rFonts w:ascii="Century Gothic" w:hAnsi="Century Gothic"/>
        </w:rPr>
        <w:t xml:space="preserve">marcado por los </w:t>
      </w:r>
      <w:r w:rsidR="00FB5BA4" w:rsidRPr="00384C87">
        <w:rPr>
          <w:rFonts w:ascii="Century Gothic" w:hAnsi="Century Gothic"/>
        </w:rPr>
        <w:t xml:space="preserve">acontecimientos </w:t>
      </w:r>
      <w:r w:rsidR="00D55A0D" w:rsidRPr="00384C87">
        <w:rPr>
          <w:rFonts w:ascii="Century Gothic" w:hAnsi="Century Gothic"/>
        </w:rPr>
        <w:t xml:space="preserve">que prevalecen en </w:t>
      </w:r>
      <w:r w:rsidR="003934DA" w:rsidRPr="00384C87">
        <w:rPr>
          <w:rFonts w:ascii="Century Gothic" w:hAnsi="Century Gothic"/>
        </w:rPr>
        <w:t xml:space="preserve"> </w:t>
      </w:r>
      <w:r w:rsidR="00FB5BA4" w:rsidRPr="00384C87">
        <w:rPr>
          <w:rFonts w:ascii="Century Gothic" w:hAnsi="Century Gothic"/>
        </w:rPr>
        <w:t>la geografía mundial tales</w:t>
      </w:r>
      <w:r w:rsidR="003B3B77" w:rsidRPr="00384C87">
        <w:rPr>
          <w:rFonts w:ascii="Century Gothic" w:hAnsi="Century Gothic"/>
        </w:rPr>
        <w:t xml:space="preserve"> como: </w:t>
      </w:r>
      <w:r w:rsidR="003934DA" w:rsidRPr="00384C87">
        <w:rPr>
          <w:rFonts w:ascii="Century Gothic" w:hAnsi="Century Gothic"/>
        </w:rPr>
        <w:t xml:space="preserve">las guerras </w:t>
      </w:r>
      <w:r w:rsidR="00D55A0D" w:rsidRPr="00384C87">
        <w:rPr>
          <w:rFonts w:ascii="Century Gothic" w:hAnsi="Century Gothic"/>
        </w:rPr>
        <w:t xml:space="preserve">políticas, religiosas y territoriales en </w:t>
      </w:r>
      <w:r w:rsidR="00BE20AA" w:rsidRPr="00384C87">
        <w:rPr>
          <w:rFonts w:ascii="Century Gothic" w:hAnsi="Century Gothic"/>
        </w:rPr>
        <w:t xml:space="preserve">el </w:t>
      </w:r>
      <w:r w:rsidR="003934DA" w:rsidRPr="00384C87">
        <w:rPr>
          <w:rFonts w:ascii="Century Gothic" w:hAnsi="Century Gothic"/>
        </w:rPr>
        <w:t>medio oriente</w:t>
      </w:r>
      <w:r w:rsidR="00D55A0D" w:rsidRPr="00384C87">
        <w:rPr>
          <w:rFonts w:ascii="Century Gothic" w:hAnsi="Century Gothic"/>
        </w:rPr>
        <w:t xml:space="preserve"> y occidente</w:t>
      </w:r>
      <w:r w:rsidR="003A2309" w:rsidRPr="00384C87">
        <w:rPr>
          <w:rFonts w:ascii="Century Gothic" w:hAnsi="Century Gothic"/>
        </w:rPr>
        <w:t>;</w:t>
      </w:r>
      <w:r w:rsidR="003934DA" w:rsidRPr="00384C87">
        <w:rPr>
          <w:rFonts w:ascii="Century Gothic" w:hAnsi="Century Gothic"/>
        </w:rPr>
        <w:t xml:space="preserve"> la perspectiva </w:t>
      </w:r>
      <w:r w:rsidR="00F459A1" w:rsidRPr="00384C87">
        <w:rPr>
          <w:rFonts w:ascii="Century Gothic" w:hAnsi="Century Gothic"/>
        </w:rPr>
        <w:t>de la</w:t>
      </w:r>
      <w:r w:rsidR="003934DA" w:rsidRPr="00384C87">
        <w:rPr>
          <w:rFonts w:ascii="Century Gothic" w:hAnsi="Century Gothic"/>
        </w:rPr>
        <w:t xml:space="preserve"> </w:t>
      </w:r>
      <w:r w:rsidR="00F459A1" w:rsidRPr="00384C87">
        <w:rPr>
          <w:rFonts w:ascii="Century Gothic" w:hAnsi="Century Gothic"/>
        </w:rPr>
        <w:t xml:space="preserve">economía y políticas </w:t>
      </w:r>
      <w:r w:rsidR="003934DA" w:rsidRPr="00384C87">
        <w:rPr>
          <w:rFonts w:ascii="Century Gothic" w:hAnsi="Century Gothic"/>
        </w:rPr>
        <w:t>Estado</w:t>
      </w:r>
      <w:r w:rsidR="00F459A1" w:rsidRPr="00384C87">
        <w:rPr>
          <w:rFonts w:ascii="Century Gothic" w:hAnsi="Century Gothic"/>
        </w:rPr>
        <w:t xml:space="preserve">unidense por la </w:t>
      </w:r>
      <w:r w:rsidR="003934DA" w:rsidRPr="00384C87">
        <w:rPr>
          <w:rFonts w:ascii="Century Gothic" w:hAnsi="Century Gothic"/>
        </w:rPr>
        <w:t>sucesión presidencial</w:t>
      </w:r>
      <w:r w:rsidR="00F459A1" w:rsidRPr="00384C87">
        <w:rPr>
          <w:rFonts w:ascii="Century Gothic" w:hAnsi="Century Gothic"/>
        </w:rPr>
        <w:t xml:space="preserve">; así como  </w:t>
      </w:r>
      <w:r w:rsidR="003934DA" w:rsidRPr="00384C87">
        <w:rPr>
          <w:rFonts w:ascii="Century Gothic" w:hAnsi="Century Gothic"/>
        </w:rPr>
        <w:t>la</w:t>
      </w:r>
      <w:r w:rsidR="00D56C61" w:rsidRPr="00384C87">
        <w:rPr>
          <w:rFonts w:ascii="Century Gothic" w:hAnsi="Century Gothic"/>
        </w:rPr>
        <w:t xml:space="preserve"> incertidumbre en la</w:t>
      </w:r>
      <w:r w:rsidR="003934DA" w:rsidRPr="00384C87">
        <w:rPr>
          <w:rFonts w:ascii="Century Gothic" w:hAnsi="Century Gothic"/>
        </w:rPr>
        <w:t xml:space="preserve">s previsiones </w:t>
      </w:r>
      <w:r w:rsidR="00085EE9" w:rsidRPr="00384C87">
        <w:rPr>
          <w:rFonts w:ascii="Century Gothic" w:hAnsi="Century Gothic"/>
        </w:rPr>
        <w:t xml:space="preserve">de crecimiento </w:t>
      </w:r>
      <w:r w:rsidR="00D56C61" w:rsidRPr="00384C87">
        <w:rPr>
          <w:rFonts w:ascii="Century Gothic" w:hAnsi="Century Gothic"/>
        </w:rPr>
        <w:t>de</w:t>
      </w:r>
      <w:r w:rsidR="003934DA" w:rsidRPr="00384C87">
        <w:rPr>
          <w:rFonts w:ascii="Century Gothic" w:hAnsi="Century Gothic"/>
        </w:rPr>
        <w:t xml:space="preserve"> las economías avanzadas y emergentes.</w:t>
      </w:r>
    </w:p>
    <w:p w14:paraId="17D42058" w14:textId="77777777" w:rsidR="00FB5BA4" w:rsidRPr="00384C87" w:rsidRDefault="003627C7" w:rsidP="00FF6BC2">
      <w:pPr>
        <w:spacing w:after="160" w:line="360" w:lineRule="auto"/>
        <w:jc w:val="both"/>
        <w:rPr>
          <w:rFonts w:ascii="Century Gothic" w:hAnsi="Century Gothic"/>
        </w:rPr>
      </w:pPr>
      <w:r w:rsidRPr="00384C87">
        <w:rPr>
          <w:rFonts w:ascii="Century Gothic" w:hAnsi="Century Gothic"/>
        </w:rPr>
        <w:t>Aunque en el año</w:t>
      </w:r>
      <w:r w:rsidR="00085EE9" w:rsidRPr="00384C87">
        <w:rPr>
          <w:rFonts w:ascii="Century Gothic" w:hAnsi="Century Gothic"/>
        </w:rPr>
        <w:t xml:space="preserve"> 2024 la actividad económica </w:t>
      </w:r>
      <w:r w:rsidRPr="00384C87">
        <w:rPr>
          <w:rFonts w:ascii="Century Gothic" w:hAnsi="Century Gothic"/>
        </w:rPr>
        <w:t xml:space="preserve">mundial </w:t>
      </w:r>
      <w:r w:rsidR="00085EE9" w:rsidRPr="00384C87">
        <w:rPr>
          <w:rFonts w:ascii="Century Gothic" w:hAnsi="Century Gothic"/>
        </w:rPr>
        <w:t xml:space="preserve">ha enfrentado una serie de </w:t>
      </w:r>
      <w:r w:rsidRPr="00384C87">
        <w:rPr>
          <w:rFonts w:ascii="Century Gothic" w:hAnsi="Century Gothic"/>
        </w:rPr>
        <w:t xml:space="preserve">desequilibrios cíclicos, esto ha favorecido la conjunción de la demanda y la producción potencial en las principales economías, permitiendo con ello sincronizar la tasa de inflación de los distintos países, </w:t>
      </w:r>
      <w:r w:rsidR="001D0E1B" w:rsidRPr="00384C87">
        <w:rPr>
          <w:rFonts w:ascii="Century Gothic" w:hAnsi="Century Gothic"/>
        </w:rPr>
        <w:t>originando así</w:t>
      </w:r>
      <w:r w:rsidRPr="00384C87">
        <w:rPr>
          <w:rFonts w:ascii="Century Gothic" w:hAnsi="Century Gothic"/>
        </w:rPr>
        <w:t xml:space="preserve"> un descenso en la inflación a nivel mundial</w:t>
      </w:r>
      <w:r w:rsidR="00FB5BA4" w:rsidRPr="00384C87">
        <w:rPr>
          <w:rFonts w:ascii="Century Gothic" w:hAnsi="Century Gothic"/>
        </w:rPr>
        <w:t xml:space="preserve"> y un crecimiento estable, aunque menor para 2025.</w:t>
      </w:r>
    </w:p>
    <w:p w14:paraId="3FE99547" w14:textId="77777777" w:rsidR="00FB5BA4" w:rsidRPr="00384C87" w:rsidRDefault="00FB5BA4" w:rsidP="00FB5BA4">
      <w:pPr>
        <w:spacing w:line="360" w:lineRule="auto"/>
        <w:jc w:val="both"/>
        <w:rPr>
          <w:rFonts w:ascii="Century Gothic" w:hAnsi="Century Gothic"/>
        </w:rPr>
      </w:pPr>
      <w:r w:rsidRPr="00384C87">
        <w:rPr>
          <w:rFonts w:ascii="Century Gothic" w:hAnsi="Century Gothic"/>
        </w:rPr>
        <w:t xml:space="preserve">Por su parte la actividad económica nacional, mantuvo una marcada debilidad desde 2023 con una inflación general que se incrementó debido al aumento notorio en la inflación no subyacente, en los mercados nacionales se presentaron </w:t>
      </w:r>
      <w:r w:rsidRPr="00384C87">
        <w:rPr>
          <w:rFonts w:ascii="Century Gothic" w:hAnsi="Century Gothic"/>
        </w:rPr>
        <w:lastRenderedPageBreak/>
        <w:t xml:space="preserve">episodios de volatilidad financiera debido a factores idiosincráticos y externos. La moneda nacional registró una visible depreciación. </w:t>
      </w:r>
    </w:p>
    <w:p w14:paraId="7F109F4E" w14:textId="77777777" w:rsidR="00F459A1" w:rsidRPr="00384C87" w:rsidRDefault="00F459A1" w:rsidP="00FB5BA4">
      <w:pPr>
        <w:spacing w:line="360" w:lineRule="auto"/>
        <w:jc w:val="both"/>
        <w:rPr>
          <w:rFonts w:ascii="Century Gothic" w:hAnsi="Century Gothic"/>
        </w:rPr>
      </w:pPr>
      <w:r w:rsidRPr="00384C87">
        <w:rPr>
          <w:rFonts w:ascii="Century Gothic" w:hAnsi="Century Gothic"/>
        </w:rPr>
        <w:t>Por último, la economía estatal del Estado de Chiapas, se encuentra en un</w:t>
      </w:r>
      <w:r w:rsidR="0085361A" w:rsidRPr="00384C87">
        <w:rPr>
          <w:rFonts w:ascii="Century Gothic" w:hAnsi="Century Gothic"/>
        </w:rPr>
        <w:t xml:space="preserve"> momento de</w:t>
      </w:r>
      <w:r w:rsidRPr="00384C87">
        <w:rPr>
          <w:rFonts w:ascii="Century Gothic" w:hAnsi="Century Gothic"/>
        </w:rPr>
        <w:t xml:space="preserve"> </w:t>
      </w:r>
      <w:r w:rsidR="0085361A" w:rsidRPr="00384C87">
        <w:rPr>
          <w:rFonts w:ascii="Century Gothic" w:hAnsi="Century Gothic"/>
        </w:rPr>
        <w:t>incertidumbre por lo</w:t>
      </w:r>
      <w:r w:rsidRPr="00384C87">
        <w:rPr>
          <w:rFonts w:ascii="Century Gothic" w:hAnsi="Century Gothic"/>
        </w:rPr>
        <w:t>s sucesos nacionales y mundiales y que a la postre ha conllevado la implementación de políticas y medidas de austeridad, racionalidad y disciplina presupuestal</w:t>
      </w:r>
      <w:r w:rsidR="0085361A" w:rsidRPr="00384C87">
        <w:rPr>
          <w:rFonts w:ascii="Century Gothic" w:hAnsi="Century Gothic"/>
        </w:rPr>
        <w:t xml:space="preserve"> cada vez más eficaces</w:t>
      </w:r>
      <w:r w:rsidRPr="00384C87">
        <w:rPr>
          <w:rFonts w:ascii="Century Gothic" w:hAnsi="Century Gothic"/>
        </w:rPr>
        <w:t xml:space="preserve">. </w:t>
      </w:r>
    </w:p>
    <w:p w14:paraId="3BBC5D5C" w14:textId="77777777" w:rsidR="00EA1606" w:rsidRPr="00384C87" w:rsidRDefault="00EA1606" w:rsidP="00EA1606">
      <w:pPr>
        <w:jc w:val="both"/>
        <w:rPr>
          <w:rFonts w:ascii="Century Gothic" w:hAnsi="Century Gothic"/>
          <w:b/>
          <w:color w:val="000000"/>
          <w:lang w:eastAsia="es-MX"/>
        </w:rPr>
      </w:pPr>
      <w:r w:rsidRPr="00384C87">
        <w:rPr>
          <w:rFonts w:ascii="Century Gothic" w:hAnsi="Century Gothic"/>
          <w:b/>
          <w:color w:val="000000"/>
          <w:lang w:eastAsia="es-MX"/>
        </w:rPr>
        <w:t>I.1. Panorama Mundial</w:t>
      </w:r>
    </w:p>
    <w:p w14:paraId="44566D29" w14:textId="77777777" w:rsidR="00F93092" w:rsidRPr="00384C87" w:rsidRDefault="002B12C6" w:rsidP="00BA0C94">
      <w:pPr>
        <w:spacing w:after="160" w:line="360" w:lineRule="auto"/>
        <w:jc w:val="both"/>
        <w:rPr>
          <w:rFonts w:ascii="Century Gothic" w:hAnsi="Century Gothic"/>
        </w:rPr>
      </w:pPr>
      <w:r w:rsidRPr="00384C87">
        <w:rPr>
          <w:rFonts w:ascii="Century Gothic" w:hAnsi="Century Gothic"/>
        </w:rPr>
        <w:t>E</w:t>
      </w:r>
      <w:r w:rsidR="00F93092" w:rsidRPr="00384C87">
        <w:rPr>
          <w:rFonts w:ascii="Century Gothic" w:hAnsi="Century Gothic"/>
        </w:rPr>
        <w:t xml:space="preserve">l Fondo Monetario Internacional prevé que el desempeño de la economía global se mantenga estable, aunque con tasas de crecimiento menores respecto al promedio observado antes de la pandemia; en particular, de los mayores países europeos y en países en desarrollo de ingreso bajo. Así, el FMI mantuvo su estimación para la economía global en 3.2 por ciento para 2024, en comparación con los reportes de abril y julio. Se espera que, para 2025, </w:t>
      </w:r>
      <w:r w:rsidRPr="00384C87">
        <w:rPr>
          <w:rFonts w:ascii="Century Gothic" w:hAnsi="Century Gothic"/>
        </w:rPr>
        <w:t>observe</w:t>
      </w:r>
      <w:r w:rsidR="00F93092" w:rsidRPr="00384C87">
        <w:rPr>
          <w:rFonts w:ascii="Century Gothic" w:hAnsi="Century Gothic"/>
        </w:rPr>
        <w:t xml:space="preserve"> una reducción de 0.1 puntos porcentuales, al ubicarse en 3.2 por ciento antes de (3.3 por ciento en julio).</w:t>
      </w:r>
    </w:p>
    <w:p w14:paraId="42A69676" w14:textId="77777777" w:rsidR="00B10676" w:rsidRPr="00384C87" w:rsidRDefault="00D56C61" w:rsidP="00BA0C94">
      <w:pPr>
        <w:spacing w:line="360" w:lineRule="auto"/>
        <w:jc w:val="both"/>
        <w:rPr>
          <w:rFonts w:ascii="Century Gothic" w:hAnsi="Century Gothic"/>
        </w:rPr>
      </w:pPr>
      <w:r w:rsidRPr="00384C87">
        <w:rPr>
          <w:rFonts w:ascii="Century Gothic" w:hAnsi="Century Gothic"/>
        </w:rPr>
        <w:t xml:space="preserve">Las previsiones en los estados unidos ha sido una variante para el movimiento de otros países sobre todo en países desarrollados de la </w:t>
      </w:r>
      <w:r w:rsidR="003B3EC2" w:rsidRPr="00384C87">
        <w:rPr>
          <w:rFonts w:ascii="Century Gothic" w:hAnsi="Century Gothic"/>
        </w:rPr>
        <w:t xml:space="preserve">unión europea y en consecuencia </w:t>
      </w:r>
      <w:r w:rsidR="00B10676" w:rsidRPr="00384C87">
        <w:rPr>
          <w:rFonts w:ascii="Century Gothic" w:hAnsi="Century Gothic"/>
        </w:rPr>
        <w:t xml:space="preserve">semiconductores y productos electrónicos, impulsado por inversiones significativas en inteligencia artificial, ha intensificado el crecimiento, tendencia que se ve respaldada por la cuantiosa inversión pública en China e India. </w:t>
      </w:r>
    </w:p>
    <w:p w14:paraId="0BE6FB2C" w14:textId="77777777" w:rsidR="00D03C09" w:rsidRPr="00384C87" w:rsidRDefault="00D03C09" w:rsidP="00B10676">
      <w:pPr>
        <w:spacing w:after="160" w:line="360" w:lineRule="auto"/>
        <w:jc w:val="both"/>
        <w:rPr>
          <w:rFonts w:ascii="Century Gothic" w:hAnsi="Century Gothic"/>
        </w:rPr>
      </w:pPr>
      <w:r w:rsidRPr="00384C87">
        <w:rPr>
          <w:rFonts w:ascii="Century Gothic" w:hAnsi="Century Gothic"/>
        </w:rPr>
        <w:t xml:space="preserve">Por lo que se prevé </w:t>
      </w:r>
      <w:r w:rsidR="00680C8E" w:rsidRPr="00384C87">
        <w:rPr>
          <w:rFonts w:ascii="Century Gothic" w:hAnsi="Century Gothic"/>
        </w:rPr>
        <w:t>que e</w:t>
      </w:r>
      <w:r w:rsidRPr="00384C87">
        <w:rPr>
          <w:rFonts w:ascii="Century Gothic" w:hAnsi="Century Gothic"/>
        </w:rPr>
        <w:t>l crecimiento mundial para 2024, se mantenga estable en 3.2 por ciento,</w:t>
      </w:r>
      <w:r w:rsidR="009E1F1A" w:rsidRPr="00384C87">
        <w:rPr>
          <w:rFonts w:ascii="Century Gothic" w:hAnsi="Century Gothic"/>
        </w:rPr>
        <w:t xml:space="preserve"> aunque, con tasas de </w:t>
      </w:r>
      <w:r w:rsidR="006D5CBF" w:rsidRPr="00384C87">
        <w:rPr>
          <w:rFonts w:ascii="Century Gothic" w:hAnsi="Century Gothic"/>
        </w:rPr>
        <w:t>crecimientos menores</w:t>
      </w:r>
      <w:r w:rsidR="009E1F1A" w:rsidRPr="00384C87">
        <w:rPr>
          <w:rFonts w:ascii="Century Gothic" w:hAnsi="Century Gothic"/>
        </w:rPr>
        <w:t xml:space="preserve"> respecto al promedio observado</w:t>
      </w:r>
      <w:r w:rsidRPr="00384C87">
        <w:rPr>
          <w:rFonts w:ascii="Century Gothic" w:hAnsi="Century Gothic"/>
        </w:rPr>
        <w:t xml:space="preserve"> </w:t>
      </w:r>
      <w:r w:rsidR="009E1F1A" w:rsidRPr="00384C87">
        <w:rPr>
          <w:rFonts w:ascii="Century Gothic" w:hAnsi="Century Gothic"/>
        </w:rPr>
        <w:t xml:space="preserve">antes de que suscitara la pandemia </w:t>
      </w:r>
      <w:r w:rsidRPr="00384C87">
        <w:rPr>
          <w:rFonts w:ascii="Century Gothic" w:hAnsi="Century Gothic"/>
        </w:rPr>
        <w:t>dentro de sus “Perspectivas de la Economía Mundial” (FMI)</w:t>
      </w:r>
      <w:r w:rsidR="006D5CBF" w:rsidRPr="00384C87">
        <w:rPr>
          <w:rFonts w:ascii="Century Gothic" w:hAnsi="Century Gothic"/>
        </w:rPr>
        <w:t xml:space="preserve"> de octubre del 2024.</w:t>
      </w:r>
    </w:p>
    <w:p w14:paraId="373E7358" w14:textId="77777777" w:rsidR="00B10676" w:rsidRPr="00384C87" w:rsidRDefault="00B10676" w:rsidP="00B10676">
      <w:pPr>
        <w:pStyle w:val="NormalWeb"/>
        <w:shd w:val="clear" w:color="auto" w:fill="FFFFFF"/>
        <w:spacing w:before="0" w:beforeAutospacing="0" w:after="375" w:afterAutospacing="0" w:line="480" w:lineRule="atLeast"/>
        <w:jc w:val="both"/>
        <w:rPr>
          <w:rFonts w:ascii="Century Gothic" w:eastAsiaTheme="minorHAnsi" w:hAnsi="Century Gothic" w:cstheme="minorBidi"/>
          <w:sz w:val="22"/>
          <w:szCs w:val="22"/>
          <w:lang w:eastAsia="en-US"/>
        </w:rPr>
      </w:pPr>
    </w:p>
    <w:p w14:paraId="71DBBED3" w14:textId="77777777" w:rsidR="003E4D8C" w:rsidRPr="00384C87" w:rsidRDefault="003E4D8C" w:rsidP="00B10676">
      <w:pPr>
        <w:pStyle w:val="NormalWeb"/>
        <w:shd w:val="clear" w:color="auto" w:fill="FFFFFF"/>
        <w:spacing w:before="0" w:beforeAutospacing="0" w:after="375" w:afterAutospacing="0" w:line="480" w:lineRule="atLeast"/>
        <w:jc w:val="both"/>
        <w:rPr>
          <w:rFonts w:ascii="Century Gothic" w:eastAsiaTheme="minorHAnsi" w:hAnsi="Century Gothic" w:cstheme="minorBidi"/>
          <w:sz w:val="22"/>
          <w:szCs w:val="22"/>
          <w:lang w:eastAsia="en-US"/>
        </w:rPr>
      </w:pPr>
    </w:p>
    <w:p w14:paraId="163485EA" w14:textId="77777777" w:rsidR="00EA1606" w:rsidRPr="00384C87" w:rsidRDefault="00EA1606" w:rsidP="00EA1606">
      <w:pPr>
        <w:jc w:val="both"/>
        <w:rPr>
          <w:rFonts w:ascii="Century Gothic" w:hAnsi="Century Gothic"/>
          <w:b/>
          <w:color w:val="000000"/>
          <w:lang w:eastAsia="es-MX"/>
        </w:rPr>
      </w:pPr>
      <w:r w:rsidRPr="00384C87">
        <w:rPr>
          <w:rFonts w:ascii="Century Gothic" w:hAnsi="Century Gothic"/>
          <w:b/>
          <w:color w:val="000000"/>
          <w:lang w:eastAsia="es-MX"/>
        </w:rPr>
        <w:lastRenderedPageBreak/>
        <w:t>I.1.1 Economías avanzadas</w:t>
      </w:r>
    </w:p>
    <w:p w14:paraId="78020CCA" w14:textId="77777777" w:rsidR="009F0A60" w:rsidRPr="00384C87" w:rsidRDefault="008B5A5B" w:rsidP="009F0A60">
      <w:pPr>
        <w:spacing w:after="160" w:line="360" w:lineRule="auto"/>
        <w:jc w:val="both"/>
        <w:rPr>
          <w:rFonts w:ascii="Century Gothic" w:hAnsi="Century Gothic"/>
        </w:rPr>
      </w:pPr>
      <w:r w:rsidRPr="00384C87">
        <w:rPr>
          <w:rFonts w:ascii="Century Gothic" w:hAnsi="Century Gothic"/>
        </w:rPr>
        <w:t>Para la</w:t>
      </w:r>
      <w:r w:rsidR="00680C8E" w:rsidRPr="00384C87">
        <w:rPr>
          <w:rFonts w:ascii="Century Gothic" w:hAnsi="Century Gothic"/>
        </w:rPr>
        <w:t>s</w:t>
      </w:r>
      <w:r w:rsidRPr="00384C87">
        <w:rPr>
          <w:rFonts w:ascii="Century Gothic" w:hAnsi="Century Gothic"/>
        </w:rPr>
        <w:t xml:space="preserve"> Economía</w:t>
      </w:r>
      <w:r w:rsidR="00680C8E" w:rsidRPr="00384C87">
        <w:rPr>
          <w:rFonts w:ascii="Century Gothic" w:hAnsi="Century Gothic"/>
        </w:rPr>
        <w:t>s</w:t>
      </w:r>
      <w:r w:rsidRPr="00384C87">
        <w:rPr>
          <w:rFonts w:ascii="Century Gothic" w:hAnsi="Century Gothic"/>
        </w:rPr>
        <w:t xml:space="preserve"> </w:t>
      </w:r>
      <w:r w:rsidR="00680C8E" w:rsidRPr="00384C87">
        <w:rPr>
          <w:rFonts w:ascii="Century Gothic" w:hAnsi="Century Gothic"/>
        </w:rPr>
        <w:t>a</w:t>
      </w:r>
      <w:r w:rsidRPr="00384C87">
        <w:rPr>
          <w:rFonts w:ascii="Century Gothic" w:hAnsi="Century Gothic"/>
        </w:rPr>
        <w:t>vanzada</w:t>
      </w:r>
      <w:r w:rsidR="00680C8E" w:rsidRPr="00384C87">
        <w:rPr>
          <w:rFonts w:ascii="Century Gothic" w:hAnsi="Century Gothic"/>
        </w:rPr>
        <w:t>s</w:t>
      </w:r>
      <w:r w:rsidRPr="00384C87">
        <w:rPr>
          <w:rFonts w:ascii="Century Gothic" w:hAnsi="Century Gothic"/>
        </w:rPr>
        <w:t>, el FMI prevé que la actividad económica aumente</w:t>
      </w:r>
      <w:r w:rsidR="009D7356" w:rsidRPr="00384C87">
        <w:rPr>
          <w:rFonts w:ascii="Century Gothic" w:hAnsi="Century Gothic"/>
        </w:rPr>
        <w:t xml:space="preserve"> en</w:t>
      </w:r>
      <w:r w:rsidRPr="00384C87">
        <w:rPr>
          <w:rFonts w:ascii="Century Gothic" w:hAnsi="Century Gothic"/>
        </w:rPr>
        <w:t xml:space="preserve"> 1.8 por ciento,</w:t>
      </w:r>
      <w:r w:rsidR="00A5135B" w:rsidRPr="00384C87">
        <w:rPr>
          <w:rFonts w:ascii="Century Gothic" w:hAnsi="Century Gothic"/>
        </w:rPr>
        <w:t xml:space="preserve"> </w:t>
      </w:r>
      <w:r w:rsidR="009D7356" w:rsidRPr="00384C87">
        <w:rPr>
          <w:rFonts w:ascii="Century Gothic" w:hAnsi="Century Gothic"/>
        </w:rPr>
        <w:t xml:space="preserve">para el </w:t>
      </w:r>
      <w:r w:rsidR="00A5135B" w:rsidRPr="00384C87">
        <w:rPr>
          <w:rFonts w:ascii="Century Gothic" w:hAnsi="Century Gothic"/>
        </w:rPr>
        <w:t>2024</w:t>
      </w:r>
      <w:r w:rsidR="003A28DE" w:rsidRPr="00384C87">
        <w:rPr>
          <w:rFonts w:ascii="Century Gothic" w:hAnsi="Century Gothic"/>
        </w:rPr>
        <w:t>. Por lo que, para Estados Unidos, e</w:t>
      </w:r>
      <w:r w:rsidRPr="00384C87">
        <w:rPr>
          <w:rFonts w:ascii="Century Gothic" w:hAnsi="Century Gothic"/>
        </w:rPr>
        <w:t>l Producto Interno Bruto (PIB) se revisa al alza a 2.8 por ciento en 2024, 0.2 puntos porcentuales más alto que el pronóstico de julio, debido a los mayores resultados en el consumo y la inversión no residencial.</w:t>
      </w:r>
      <w:r w:rsidR="009F0A60" w:rsidRPr="00384C87">
        <w:rPr>
          <w:rFonts w:ascii="Century Gothic" w:hAnsi="Century Gothic"/>
        </w:rPr>
        <w:t xml:space="preserve"> La resistencia del consumo se debe en gran medida a los fuertes aumentos de los salarios reales (especialmente entre los hogares de menores ingresos) y a los efectos sobre la riqueza. </w:t>
      </w:r>
    </w:p>
    <w:p w14:paraId="01B196BA" w14:textId="77777777" w:rsidR="00EA1606" w:rsidRPr="00384C87" w:rsidRDefault="00847323" w:rsidP="00EA1606">
      <w:pPr>
        <w:jc w:val="both"/>
        <w:rPr>
          <w:rFonts w:ascii="Century Gothic" w:hAnsi="Century Gothic"/>
          <w:b/>
          <w:color w:val="000000"/>
          <w:lang w:eastAsia="es-MX"/>
        </w:rPr>
      </w:pPr>
      <w:r w:rsidRPr="00384C87">
        <w:rPr>
          <w:rFonts w:ascii="Century Gothic" w:hAnsi="Century Gothic"/>
          <w:b/>
          <w:color w:val="000000"/>
          <w:lang w:eastAsia="es-MX"/>
        </w:rPr>
        <w:t>I.1.2 Economías</w:t>
      </w:r>
      <w:r w:rsidR="00EA1606" w:rsidRPr="00384C87">
        <w:rPr>
          <w:rFonts w:ascii="Century Gothic" w:hAnsi="Century Gothic"/>
          <w:b/>
          <w:color w:val="000000"/>
          <w:lang w:eastAsia="es-MX"/>
        </w:rPr>
        <w:t xml:space="preserve"> emergentes</w:t>
      </w:r>
    </w:p>
    <w:p w14:paraId="14EFFC12" w14:textId="77777777" w:rsidR="00624CFB" w:rsidRPr="00384C87" w:rsidRDefault="00624CFB" w:rsidP="00624CFB">
      <w:pPr>
        <w:spacing w:after="160" w:line="360" w:lineRule="auto"/>
        <w:jc w:val="both"/>
        <w:rPr>
          <w:rFonts w:ascii="Century Gothic" w:hAnsi="Century Gothic"/>
        </w:rPr>
      </w:pPr>
      <w:r w:rsidRPr="00384C87">
        <w:rPr>
          <w:rFonts w:ascii="Century Gothic" w:hAnsi="Century Gothic"/>
        </w:rPr>
        <w:t xml:space="preserve">Las perspectivas de crecimiento son estables en las economías de mercados emergentes y en desarrollo: </w:t>
      </w:r>
      <w:r w:rsidR="00847323" w:rsidRPr="00384C87">
        <w:rPr>
          <w:rFonts w:ascii="Century Gothic" w:hAnsi="Century Gothic"/>
        </w:rPr>
        <w:t xml:space="preserve">por lo que </w:t>
      </w:r>
      <w:r w:rsidRPr="00384C87">
        <w:rPr>
          <w:rFonts w:ascii="Century Gothic" w:hAnsi="Century Gothic"/>
        </w:rPr>
        <w:t>se prevé una tasa cercana al 4.2 por ciento, para 2024.</w:t>
      </w:r>
    </w:p>
    <w:p w14:paraId="55A5EF3E" w14:textId="77777777" w:rsidR="00DB0648" w:rsidRPr="00384C87" w:rsidRDefault="00DB0648" w:rsidP="00624CFB">
      <w:pPr>
        <w:spacing w:after="160" w:line="360" w:lineRule="auto"/>
        <w:jc w:val="both"/>
        <w:rPr>
          <w:rFonts w:ascii="Century Gothic" w:hAnsi="Century Gothic"/>
        </w:rPr>
      </w:pPr>
      <w:r w:rsidRPr="00384C87">
        <w:rPr>
          <w:rFonts w:ascii="Century Gothic" w:hAnsi="Century Gothic"/>
        </w:rPr>
        <w:t>En las economías de mercados emergentes y en desarrollo, las perturbaciones en la producción y el transporte de materias primas sobre todo el petróleo, los conflictos, los disturbios civiles y los fenómenos meteorológicos extremos han dado lugar a revisiones a la baja de las perspectivas para Oriente Medio y Asia Central y para África subsahariana. Estas modificaciones han quedado compensadas por las revisiones al alza de los pronósticos para las economías emergentes de Asia, en las que el fuerte aumento de la demanda de semiconductores y productos electrónicos, impulsado por inversiones significativas en inteligencia artificial, ha intensificado el crecimiento</w:t>
      </w:r>
      <w:r w:rsidR="00105C08" w:rsidRPr="00384C87">
        <w:rPr>
          <w:rFonts w:ascii="Century Gothic" w:hAnsi="Century Gothic"/>
        </w:rPr>
        <w:t>.</w:t>
      </w:r>
    </w:p>
    <w:p w14:paraId="59D810E9" w14:textId="77777777" w:rsidR="00EA1606" w:rsidRPr="00384C87" w:rsidRDefault="00EA1606" w:rsidP="00EA1606">
      <w:pPr>
        <w:spacing w:line="360" w:lineRule="auto"/>
        <w:jc w:val="both"/>
        <w:rPr>
          <w:rFonts w:ascii="Century Gothic" w:hAnsi="Century Gothic"/>
          <w:b/>
        </w:rPr>
      </w:pPr>
      <w:r w:rsidRPr="00384C87">
        <w:rPr>
          <w:rFonts w:ascii="Century Gothic" w:hAnsi="Century Gothic"/>
          <w:b/>
        </w:rPr>
        <w:t>I.1.3 Perspectivas de la economía Mundial 2025</w:t>
      </w:r>
    </w:p>
    <w:p w14:paraId="510DB05B" w14:textId="77777777" w:rsidR="00C7635A" w:rsidRPr="00384C87" w:rsidRDefault="00105C08" w:rsidP="00C7635A">
      <w:pPr>
        <w:spacing w:after="160" w:line="360" w:lineRule="auto"/>
        <w:jc w:val="both"/>
        <w:rPr>
          <w:rFonts w:ascii="Century Gothic" w:hAnsi="Century Gothic"/>
        </w:rPr>
      </w:pPr>
      <w:r w:rsidRPr="00384C87">
        <w:rPr>
          <w:rFonts w:ascii="Century Gothic" w:hAnsi="Century Gothic"/>
        </w:rPr>
        <w:t>De acuerdo con el Fondo Monetario Internacional (FMI), en las Perspectivas de la Economía Mundial publicada en octubre de 2024, se prevé</w:t>
      </w:r>
      <w:r w:rsidR="00154012" w:rsidRPr="00384C87">
        <w:rPr>
          <w:rFonts w:ascii="Century Gothic" w:hAnsi="Century Gothic"/>
        </w:rPr>
        <w:t xml:space="preserve"> </w:t>
      </w:r>
      <w:r w:rsidR="00C7635A" w:rsidRPr="00384C87">
        <w:rPr>
          <w:rFonts w:ascii="Century Gothic" w:hAnsi="Century Gothic"/>
        </w:rPr>
        <w:t>que la mayoría de los países mantendrán números positivos</w:t>
      </w:r>
      <w:r w:rsidR="00516504" w:rsidRPr="00384C87">
        <w:rPr>
          <w:rFonts w:ascii="Century Gothic" w:hAnsi="Century Gothic"/>
        </w:rPr>
        <w:t xml:space="preserve"> en 2025</w:t>
      </w:r>
      <w:r w:rsidR="00C7635A" w:rsidRPr="00384C87">
        <w:rPr>
          <w:rFonts w:ascii="Century Gothic" w:hAnsi="Century Gothic"/>
        </w:rPr>
        <w:t>, pero los crecimientos serán modestos.</w:t>
      </w:r>
      <w:r w:rsidR="005D136A" w:rsidRPr="00384C87">
        <w:rPr>
          <w:rFonts w:ascii="Century Gothic" w:hAnsi="Century Gothic"/>
        </w:rPr>
        <w:t xml:space="preserve"> </w:t>
      </w:r>
    </w:p>
    <w:p w14:paraId="15337A9D" w14:textId="77777777" w:rsidR="00750DBE" w:rsidRPr="00384C87" w:rsidRDefault="001D0FB5" w:rsidP="00C7635A">
      <w:pPr>
        <w:spacing w:after="160" w:line="360" w:lineRule="auto"/>
        <w:jc w:val="both"/>
        <w:rPr>
          <w:rFonts w:ascii="Century Gothic" w:hAnsi="Century Gothic"/>
        </w:rPr>
      </w:pPr>
      <w:r w:rsidRPr="00384C87">
        <w:rPr>
          <w:rFonts w:ascii="Century Gothic" w:hAnsi="Century Gothic"/>
        </w:rPr>
        <w:t>Por consiguiente, l</w:t>
      </w:r>
      <w:r w:rsidR="00777D09" w:rsidRPr="00384C87">
        <w:rPr>
          <w:rFonts w:ascii="Century Gothic" w:hAnsi="Century Gothic"/>
        </w:rPr>
        <w:t>os r</w:t>
      </w:r>
      <w:r w:rsidR="00750DBE" w:rsidRPr="00384C87">
        <w:rPr>
          <w:rFonts w:ascii="Century Gothic" w:hAnsi="Century Gothic"/>
        </w:rPr>
        <w:t>iesgos para el crecim</w:t>
      </w:r>
      <w:r w:rsidR="00777D09" w:rsidRPr="00384C87">
        <w:rPr>
          <w:rFonts w:ascii="Century Gothic" w:hAnsi="Century Gothic"/>
        </w:rPr>
        <w:t xml:space="preserve">iento </w:t>
      </w:r>
      <w:r w:rsidR="00750DBE" w:rsidRPr="00384C87">
        <w:rPr>
          <w:rFonts w:ascii="Century Gothic" w:hAnsi="Century Gothic"/>
        </w:rPr>
        <w:t xml:space="preserve">considera riesgos para las perspectivas mundiales se inclinan a la baja en un contexto de elevada </w:t>
      </w:r>
      <w:r w:rsidR="00750DBE" w:rsidRPr="00384C87">
        <w:rPr>
          <w:rFonts w:ascii="Century Gothic" w:hAnsi="Century Gothic"/>
        </w:rPr>
        <w:lastRenderedPageBreak/>
        <w:t>incertidumbre en torno a las políticas, entre los que se incluyen</w:t>
      </w:r>
      <w:r w:rsidRPr="00384C87">
        <w:rPr>
          <w:rFonts w:ascii="Century Gothic" w:hAnsi="Century Gothic"/>
        </w:rPr>
        <w:t xml:space="preserve"> según el FMI</w:t>
      </w:r>
      <w:r w:rsidR="00750DBE" w:rsidRPr="00384C87">
        <w:rPr>
          <w:rFonts w:ascii="Century Gothic" w:hAnsi="Century Gothic"/>
        </w:rPr>
        <w:t>: i) una escalada de los conflictos regionales; ii) la prolongación excesiva de la orientación restrictiva de la política monetaria, iii) una posible reaparición de la volatilidad en los mercados financieros que tenga efectos adversos en los mercados de deuda soberana; iv) una desaceleración más pronunciada del crecimiento en China y vi) el continuo aumento de las políticas proteccionistas.</w:t>
      </w:r>
    </w:p>
    <w:p w14:paraId="72F38D8F" w14:textId="77777777" w:rsidR="00105C08" w:rsidRPr="00384C87" w:rsidRDefault="00105C08" w:rsidP="00105C08">
      <w:pPr>
        <w:autoSpaceDE w:val="0"/>
        <w:autoSpaceDN w:val="0"/>
        <w:adjustRightInd w:val="0"/>
        <w:jc w:val="center"/>
        <w:rPr>
          <w:rFonts w:ascii="Century Gothic" w:hAnsi="Century Gothic" w:cs="Century Gothic"/>
          <w:color w:val="000000"/>
        </w:rPr>
      </w:pPr>
      <w:r w:rsidRPr="00384C87">
        <w:rPr>
          <w:rFonts w:ascii="Century Gothic" w:hAnsi="Century Gothic" w:cs="Century Gothic"/>
          <w:b/>
          <w:bCs/>
          <w:color w:val="000000"/>
        </w:rPr>
        <w:t>Cuadro I.1.</w:t>
      </w:r>
    </w:p>
    <w:p w14:paraId="048A8D74" w14:textId="77777777" w:rsidR="00105C08" w:rsidRPr="00384C87" w:rsidRDefault="00105C08" w:rsidP="00105C08">
      <w:pPr>
        <w:autoSpaceDE w:val="0"/>
        <w:autoSpaceDN w:val="0"/>
        <w:adjustRightInd w:val="0"/>
        <w:jc w:val="center"/>
        <w:rPr>
          <w:rFonts w:ascii="Century Gothic" w:hAnsi="Century Gothic" w:cs="Century Gothic"/>
          <w:b/>
          <w:bCs/>
          <w:color w:val="000000"/>
        </w:rPr>
      </w:pPr>
      <w:r w:rsidRPr="00384C87">
        <w:rPr>
          <w:rFonts w:ascii="Century Gothic" w:hAnsi="Century Gothic" w:cs="Century Gothic"/>
          <w:b/>
          <w:bCs/>
          <w:color w:val="000000"/>
        </w:rPr>
        <w:t>Perspectivas de la Economía Mundial</w:t>
      </w:r>
    </w:p>
    <w:p w14:paraId="52616133" w14:textId="77777777" w:rsidR="00105C08" w:rsidRPr="00384C87" w:rsidRDefault="00105C08" w:rsidP="00105C08">
      <w:pPr>
        <w:autoSpaceDE w:val="0"/>
        <w:autoSpaceDN w:val="0"/>
        <w:adjustRightInd w:val="0"/>
        <w:jc w:val="center"/>
        <w:rPr>
          <w:rFonts w:ascii="Century Gothic" w:hAnsi="Century Gothic" w:cs="Century Gothic"/>
          <w:color w:val="000000"/>
        </w:rPr>
      </w:pPr>
      <w:r w:rsidRPr="00384C87">
        <w:rPr>
          <w:rFonts w:ascii="Century Gothic" w:hAnsi="Century Gothic" w:cs="Century Gothic"/>
          <w:color w:val="000000"/>
        </w:rPr>
        <w:t>(Variación Real Anual)</w:t>
      </w:r>
    </w:p>
    <w:p w14:paraId="7CDAB4FE" w14:textId="77777777" w:rsidR="00BA32DF" w:rsidRPr="00384C87" w:rsidRDefault="00BA32DF" w:rsidP="00105C08">
      <w:pPr>
        <w:autoSpaceDE w:val="0"/>
        <w:autoSpaceDN w:val="0"/>
        <w:adjustRightInd w:val="0"/>
        <w:jc w:val="center"/>
        <w:rPr>
          <w:rFonts w:ascii="Century Gothic" w:hAnsi="Century Gothic" w:cs="Century Gothic"/>
          <w:b/>
          <w:bCs/>
          <w:color w:val="000000"/>
        </w:rPr>
      </w:pPr>
      <w:r w:rsidRPr="00384C87">
        <w:rPr>
          <w:rFonts w:ascii="Century Gothic" w:hAnsi="Century Gothic" w:cs="Century Gothic"/>
          <w:color w:val="000000"/>
        </w:rPr>
        <w:object w:dxaOrig="9918" w:dyaOrig="6482" w14:anchorId="12B3BE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4.5pt;height:284.85pt" o:ole="">
            <v:imagedata r:id="rId9" o:title=""/>
          </v:shape>
          <o:OLEObject Type="Embed" ProgID="Excel.Sheet.12" ShapeID="_x0000_i1025" DrawAspect="Content" ObjectID="_1820651787" r:id="rId10"/>
        </w:object>
      </w:r>
    </w:p>
    <w:p w14:paraId="6D5E81CF" w14:textId="77777777" w:rsidR="00EA1606" w:rsidRPr="00384C87" w:rsidRDefault="00EA1606" w:rsidP="00EA1606">
      <w:pPr>
        <w:spacing w:line="360" w:lineRule="auto"/>
        <w:jc w:val="both"/>
        <w:rPr>
          <w:rFonts w:ascii="Century Gothic" w:hAnsi="Century Gothic"/>
          <w:b/>
          <w:color w:val="000000"/>
          <w:lang w:eastAsia="es-MX"/>
        </w:rPr>
      </w:pPr>
      <w:r w:rsidRPr="00384C87">
        <w:rPr>
          <w:rFonts w:ascii="Century Gothic" w:hAnsi="Century Gothic"/>
          <w:b/>
          <w:color w:val="000000"/>
          <w:lang w:eastAsia="es-MX"/>
        </w:rPr>
        <w:t>I.2. Panorama Económico Nacional y Perspectivas Macroeconómicas para 2025</w:t>
      </w:r>
    </w:p>
    <w:p w14:paraId="5DA6E70C" w14:textId="77777777" w:rsidR="00857799" w:rsidRPr="00384C87" w:rsidRDefault="008154A5" w:rsidP="00316F89">
      <w:pPr>
        <w:spacing w:line="360" w:lineRule="auto"/>
        <w:jc w:val="both"/>
        <w:rPr>
          <w:rFonts w:ascii="Century Gothic" w:hAnsi="Century Gothic"/>
        </w:rPr>
      </w:pPr>
      <w:r w:rsidRPr="00384C87">
        <w:rPr>
          <w:rFonts w:ascii="Century Gothic" w:hAnsi="Century Gothic"/>
        </w:rPr>
        <w:t xml:space="preserve">En el </w:t>
      </w:r>
      <w:r w:rsidR="00585A48" w:rsidRPr="00384C87">
        <w:rPr>
          <w:rFonts w:ascii="Century Gothic" w:hAnsi="Century Gothic"/>
        </w:rPr>
        <w:t>entorno</w:t>
      </w:r>
      <w:r w:rsidRPr="00384C87">
        <w:rPr>
          <w:rFonts w:ascii="Century Gothic" w:hAnsi="Century Gothic"/>
        </w:rPr>
        <w:t xml:space="preserve"> mundial, l</w:t>
      </w:r>
      <w:r w:rsidR="00857799" w:rsidRPr="00384C87">
        <w:rPr>
          <w:rFonts w:ascii="Century Gothic" w:hAnsi="Century Gothic"/>
        </w:rPr>
        <w:t xml:space="preserve">as diferencias en el dinamismo de la actividad al iniciarse el año han reducido en cierta medida la divergencia entre los productos de las economías a medida que se diluyen los factores cíclicos y la actividad se ajusta más a su potencial. La inflación de precios de los servicios lastra la desinflación </w:t>
      </w:r>
      <w:r w:rsidR="00102460" w:rsidRPr="00384C87">
        <w:rPr>
          <w:rFonts w:ascii="Century Gothic" w:hAnsi="Century Gothic"/>
        </w:rPr>
        <w:t xml:space="preserve">es </w:t>
      </w:r>
      <w:r w:rsidR="00102460" w:rsidRPr="00384C87">
        <w:rPr>
          <w:rFonts w:ascii="Century Gothic" w:hAnsi="Century Gothic"/>
        </w:rPr>
        <w:lastRenderedPageBreak/>
        <w:t xml:space="preserve">decir disminución del ritmo de crecimiento de la inflación </w:t>
      </w:r>
      <w:r w:rsidR="00857799" w:rsidRPr="00384C87">
        <w:rPr>
          <w:rFonts w:ascii="Century Gothic" w:hAnsi="Century Gothic"/>
        </w:rPr>
        <w:t>y complica la normalización de la política monetaria.</w:t>
      </w:r>
    </w:p>
    <w:p w14:paraId="66FA9325" w14:textId="77777777" w:rsidR="00585A48" w:rsidRPr="00384C87" w:rsidRDefault="00FA6AB3" w:rsidP="008154A5">
      <w:pPr>
        <w:spacing w:line="360" w:lineRule="auto"/>
        <w:jc w:val="both"/>
        <w:rPr>
          <w:rFonts w:ascii="Century Gothic" w:hAnsi="Century Gothic"/>
        </w:rPr>
      </w:pPr>
      <w:r w:rsidRPr="00384C87">
        <w:rPr>
          <w:rFonts w:ascii="Century Gothic" w:hAnsi="Century Gothic"/>
        </w:rPr>
        <w:t xml:space="preserve">Ante este panorama mundial, </w:t>
      </w:r>
      <w:r w:rsidR="002B16BD" w:rsidRPr="00384C87">
        <w:rPr>
          <w:rFonts w:ascii="Century Gothic" w:hAnsi="Century Gothic"/>
        </w:rPr>
        <w:t>el</w:t>
      </w:r>
      <w:r w:rsidR="001D0FB5" w:rsidRPr="00384C87">
        <w:rPr>
          <w:rFonts w:ascii="Century Gothic" w:hAnsi="Century Gothic"/>
        </w:rPr>
        <w:t xml:space="preserve"> FMI</w:t>
      </w:r>
      <w:r w:rsidR="00585A48" w:rsidRPr="00384C87">
        <w:rPr>
          <w:rFonts w:ascii="Century Gothic" w:hAnsi="Century Gothic"/>
        </w:rPr>
        <w:t xml:space="preserve">, en sus proyecciones </w:t>
      </w:r>
      <w:r w:rsidR="00B63772" w:rsidRPr="00384C87">
        <w:rPr>
          <w:rFonts w:ascii="Century Gothic" w:hAnsi="Century Gothic"/>
        </w:rPr>
        <w:t xml:space="preserve">para la economía mexicana </w:t>
      </w:r>
      <w:r w:rsidR="00585A48" w:rsidRPr="00384C87">
        <w:rPr>
          <w:rFonts w:ascii="Century Gothic" w:hAnsi="Century Gothic"/>
        </w:rPr>
        <w:t>de</w:t>
      </w:r>
      <w:r w:rsidR="002B16BD" w:rsidRPr="00384C87">
        <w:rPr>
          <w:rFonts w:ascii="Century Gothic" w:hAnsi="Century Gothic"/>
        </w:rPr>
        <w:t>l mes de</w:t>
      </w:r>
      <w:r w:rsidR="00585A48" w:rsidRPr="00384C87">
        <w:rPr>
          <w:rFonts w:ascii="Century Gothic" w:hAnsi="Century Gothic"/>
        </w:rPr>
        <w:t xml:space="preserve"> octubre, redujo en 0.7 por ciento, </w:t>
      </w:r>
      <w:r w:rsidR="001D0FB5" w:rsidRPr="00384C87">
        <w:rPr>
          <w:rFonts w:ascii="Century Gothic" w:hAnsi="Century Gothic"/>
        </w:rPr>
        <w:t>las proyecciones de desempeño de la economía para 2024, al esperar un incremento del PIB de 1.5</w:t>
      </w:r>
      <w:r w:rsidR="00585A48" w:rsidRPr="00384C87">
        <w:rPr>
          <w:rFonts w:ascii="Century Gothic" w:hAnsi="Century Gothic"/>
        </w:rPr>
        <w:t xml:space="preserve"> por ciento</w:t>
      </w:r>
      <w:r w:rsidR="001D0FB5" w:rsidRPr="00384C87">
        <w:rPr>
          <w:rFonts w:ascii="Century Gothic" w:hAnsi="Century Gothic"/>
        </w:rPr>
        <w:t xml:space="preserve"> (2.2</w:t>
      </w:r>
      <w:r w:rsidR="00585A48" w:rsidRPr="00384C87">
        <w:rPr>
          <w:rFonts w:ascii="Century Gothic" w:hAnsi="Century Gothic"/>
        </w:rPr>
        <w:t xml:space="preserve"> por ciento</w:t>
      </w:r>
      <w:r w:rsidR="001D0FB5" w:rsidRPr="00384C87">
        <w:rPr>
          <w:rFonts w:ascii="Century Gothic" w:hAnsi="Century Gothic"/>
        </w:rPr>
        <w:t xml:space="preserve"> calculado en julio), lo que refleja el debilitamiento de la demanda interna debido al endurecimiento de la política monetaria. </w:t>
      </w:r>
    </w:p>
    <w:p w14:paraId="35EBDFD6" w14:textId="77777777" w:rsidR="00652219" w:rsidRPr="00384C87" w:rsidRDefault="00F63DE8" w:rsidP="008154A5">
      <w:pPr>
        <w:spacing w:line="360" w:lineRule="auto"/>
        <w:jc w:val="both"/>
        <w:rPr>
          <w:rFonts w:ascii="Century Gothic" w:hAnsi="Century Gothic"/>
        </w:rPr>
      </w:pPr>
      <w:r w:rsidRPr="00384C87">
        <w:rPr>
          <w:rFonts w:ascii="Century Gothic" w:hAnsi="Century Gothic"/>
        </w:rPr>
        <w:t xml:space="preserve">La economía nacional, </w:t>
      </w:r>
      <w:r w:rsidR="00652219" w:rsidRPr="00384C87">
        <w:rPr>
          <w:rFonts w:ascii="Century Gothic" w:hAnsi="Century Gothic"/>
        </w:rPr>
        <w:t>al acumular en el tercer trimestre</w:t>
      </w:r>
      <w:r w:rsidR="00AE34A3" w:rsidRPr="00384C87">
        <w:rPr>
          <w:rFonts w:ascii="Century Gothic" w:hAnsi="Century Gothic"/>
        </w:rPr>
        <w:t xml:space="preserve"> de 2024 </w:t>
      </w:r>
      <w:r w:rsidR="00652219" w:rsidRPr="00384C87">
        <w:rPr>
          <w:rFonts w:ascii="Century Gothic" w:hAnsi="Century Gothic"/>
        </w:rPr>
        <w:t xml:space="preserve">continuó </w:t>
      </w:r>
      <w:r w:rsidR="002B16BD" w:rsidRPr="00384C87">
        <w:rPr>
          <w:rFonts w:ascii="Century Gothic" w:hAnsi="Century Gothic"/>
        </w:rPr>
        <w:t xml:space="preserve">una </w:t>
      </w:r>
      <w:r w:rsidR="00652219" w:rsidRPr="00384C87">
        <w:rPr>
          <w:rFonts w:ascii="Century Gothic" w:hAnsi="Century Gothic"/>
        </w:rPr>
        <w:t>trayectoria positiva con un crecimiento de 1.4 por ciento, respecto al último trimestre de 2023, con cifras ajustadas por estacionalidad.</w:t>
      </w:r>
      <w:r w:rsidR="004755E1" w:rsidRPr="00384C87">
        <w:rPr>
          <w:rFonts w:ascii="Century Gothic" w:hAnsi="Century Gothic"/>
        </w:rPr>
        <w:t xml:space="preserve"> Esto se debió a la solidez de la demanda interna, con un mercado laboral robusto y programas sociales de apoyo que favorecieron el consumo privado, así como el impulso de nueva inversión privada y la construcción de proyectos de infraestructura pública. No obstante, durante el primer semestre se presentaron diversos choques de oferta que afectaron el crecimiento y presionaron la inflación como: condiciones climatológicas adversas que ocasionaron algunos paros técnicos en la industria y afectaciones en la agricultura, así como interrupciones logísticas por algunos cierres carreteros y el aumento de precios de fletes marítimos. Desde el segundo trimestre, estos choques han ido disminuyendo y se espera que para el resto del año tengan un menor efecto sobre la economía.</w:t>
      </w:r>
    </w:p>
    <w:p w14:paraId="34F6F613" w14:textId="77777777" w:rsidR="008B2620" w:rsidRPr="00384C87" w:rsidRDefault="002B16BD" w:rsidP="008B2620">
      <w:pPr>
        <w:spacing w:line="360" w:lineRule="auto"/>
        <w:jc w:val="both"/>
        <w:rPr>
          <w:rFonts w:ascii="Century Gothic" w:hAnsi="Century Gothic"/>
        </w:rPr>
      </w:pPr>
      <w:r w:rsidRPr="00384C87">
        <w:rPr>
          <w:rFonts w:ascii="Century Gothic" w:hAnsi="Century Gothic"/>
        </w:rPr>
        <w:t>En los CGPE-25 se</w:t>
      </w:r>
      <w:r w:rsidR="008B2620" w:rsidRPr="00384C87">
        <w:rPr>
          <w:rFonts w:ascii="Century Gothic" w:hAnsi="Century Gothic"/>
        </w:rPr>
        <w:t xml:space="preserve"> prevén que la actividad económica del país observe un crecimiento anual de entre </w:t>
      </w:r>
      <w:r w:rsidR="006B0508" w:rsidRPr="00384C87">
        <w:rPr>
          <w:rFonts w:ascii="Century Gothic" w:hAnsi="Century Gothic"/>
        </w:rPr>
        <w:t>1.5</w:t>
      </w:r>
      <w:r w:rsidR="008B2620" w:rsidRPr="00384C87">
        <w:rPr>
          <w:rFonts w:ascii="Century Gothic" w:hAnsi="Century Gothic"/>
        </w:rPr>
        <w:t xml:space="preserve"> y </w:t>
      </w:r>
      <w:r w:rsidR="006907C2" w:rsidRPr="00384C87">
        <w:rPr>
          <w:rFonts w:ascii="Century Gothic" w:hAnsi="Century Gothic"/>
        </w:rPr>
        <w:t>2</w:t>
      </w:r>
      <w:r w:rsidR="008B2620" w:rsidRPr="00384C87">
        <w:rPr>
          <w:rFonts w:ascii="Century Gothic" w:hAnsi="Century Gothic"/>
        </w:rPr>
        <w:t xml:space="preserve">.5 por ciento, al término de 2024. </w:t>
      </w:r>
    </w:p>
    <w:p w14:paraId="014B0EDF" w14:textId="77777777" w:rsidR="00A3280B" w:rsidRPr="00384C87" w:rsidRDefault="00FB292A" w:rsidP="00FB292A">
      <w:pPr>
        <w:spacing w:line="360" w:lineRule="auto"/>
        <w:jc w:val="both"/>
        <w:rPr>
          <w:rFonts w:ascii="Century Gothic" w:hAnsi="Century Gothic"/>
        </w:rPr>
      </w:pPr>
      <w:r w:rsidRPr="00384C87">
        <w:rPr>
          <w:rFonts w:ascii="Century Gothic" w:hAnsi="Century Gothic"/>
        </w:rPr>
        <w:t>Finalmente, el entorno macroeconómico previsto para 2024 y 2025 se encuentra sujeto a los siguientes riesgos que podrían modificar las estimaciones anteriores, los riesgos a la baja y a</w:t>
      </w:r>
      <w:r w:rsidR="006907C2" w:rsidRPr="00384C87">
        <w:rPr>
          <w:rFonts w:ascii="Century Gothic" w:hAnsi="Century Gothic"/>
        </w:rPr>
        <w:t>lza contenidas en los CGPE 2025:</w:t>
      </w:r>
    </w:p>
    <w:p w14:paraId="37863DEE" w14:textId="77777777" w:rsidR="003E4D8C" w:rsidRPr="00384C87" w:rsidRDefault="003E4D8C" w:rsidP="00FB292A">
      <w:pPr>
        <w:spacing w:line="360" w:lineRule="auto"/>
        <w:jc w:val="both"/>
        <w:rPr>
          <w:rFonts w:ascii="Century Gothic" w:hAnsi="Century Gothic"/>
        </w:rPr>
      </w:pPr>
    </w:p>
    <w:p w14:paraId="3402A0CA" w14:textId="77777777" w:rsidR="003E4D8C" w:rsidRPr="00384C87" w:rsidRDefault="003E4D8C" w:rsidP="00FB292A">
      <w:pPr>
        <w:spacing w:line="360" w:lineRule="auto"/>
        <w:jc w:val="both"/>
        <w:rPr>
          <w:rFonts w:ascii="Century Gothic" w:hAnsi="Century Gothic"/>
        </w:rPr>
      </w:pPr>
    </w:p>
    <w:p w14:paraId="63DF35B4" w14:textId="77777777" w:rsidR="00F82BC2" w:rsidRPr="00B85625" w:rsidRDefault="0089238B" w:rsidP="0089238B">
      <w:pPr>
        <w:spacing w:line="360" w:lineRule="auto"/>
        <w:jc w:val="center"/>
        <w:rPr>
          <w:rFonts w:ascii="Century Gothic" w:hAnsi="Century Gothic"/>
          <w:b/>
        </w:rPr>
      </w:pPr>
      <w:r w:rsidRPr="00B85625">
        <w:rPr>
          <w:rFonts w:ascii="Century Gothic" w:hAnsi="Century Gothic"/>
          <w:b/>
        </w:rPr>
        <w:lastRenderedPageBreak/>
        <w:t>Riesgos Económicos de la Economía Nacional</w:t>
      </w:r>
    </w:p>
    <w:tbl>
      <w:tblPr>
        <w:tblStyle w:val="Tablaconcuadrcula"/>
        <w:tblW w:w="5000" w:type="pct"/>
        <w:jc w:val="center"/>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4467"/>
        <w:gridCol w:w="4587"/>
      </w:tblGrid>
      <w:tr w:rsidR="000E0338" w:rsidRPr="00384C87" w14:paraId="707C2AD8" w14:textId="77777777" w:rsidTr="006907C2">
        <w:trPr>
          <w:trHeight w:val="992"/>
          <w:tblHeader/>
          <w:jc w:val="center"/>
        </w:trPr>
        <w:tc>
          <w:tcPr>
            <w:tcW w:w="2467" w:type="pct"/>
            <w:shd w:val="clear" w:color="auto" w:fill="C4BC96" w:themeFill="background2" w:themeFillShade="BF"/>
            <w:vAlign w:val="center"/>
          </w:tcPr>
          <w:p w14:paraId="051C2FCF" w14:textId="77777777" w:rsidR="00384C87" w:rsidRDefault="00384C87" w:rsidP="00155D32">
            <w:pPr>
              <w:spacing w:line="360" w:lineRule="auto"/>
              <w:jc w:val="center"/>
              <w:rPr>
                <w:rFonts w:ascii="Century Gothic" w:hAnsi="Century Gothic"/>
                <w:noProof/>
                <w:lang w:eastAsia="es-MX"/>
              </w:rPr>
            </w:pPr>
          </w:p>
          <w:p w14:paraId="2562BD84" w14:textId="77777777" w:rsidR="000E0338" w:rsidRPr="00384C87" w:rsidRDefault="001845C6" w:rsidP="00155D32">
            <w:pPr>
              <w:spacing w:line="360" w:lineRule="auto"/>
              <w:jc w:val="center"/>
              <w:rPr>
                <w:rFonts w:ascii="Century Gothic" w:hAnsi="Century Gothic"/>
                <w:b/>
              </w:rPr>
            </w:pPr>
            <w:r w:rsidRPr="00384C87">
              <w:rPr>
                <w:rFonts w:ascii="Century Gothic" w:hAnsi="Century Gothic"/>
                <w:noProof/>
                <w:lang w:val="en-US"/>
              </w:rPr>
              <w:drawing>
                <wp:inline distT="0" distB="0" distL="0" distR="0" wp14:anchorId="149036B3" wp14:editId="7B8F404C">
                  <wp:extent cx="28575" cy="952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575" cy="9525"/>
                          </a:xfrm>
                          <a:prstGeom prst="rect">
                            <a:avLst/>
                          </a:prstGeom>
                          <a:noFill/>
                          <a:ln>
                            <a:noFill/>
                          </a:ln>
                        </pic:spPr>
                      </pic:pic>
                    </a:graphicData>
                  </a:graphic>
                </wp:inline>
              </w:drawing>
            </w:r>
            <w:r w:rsidR="000E0338" w:rsidRPr="00384C87">
              <w:rPr>
                <w:rFonts w:ascii="Century Gothic" w:hAnsi="Century Gothic"/>
                <w:b/>
              </w:rPr>
              <w:t>Riesgos a la baja</w:t>
            </w:r>
          </w:p>
          <w:p w14:paraId="580D35F6" w14:textId="77777777" w:rsidR="009F2D93" w:rsidRPr="00384C87" w:rsidRDefault="009F2D93" w:rsidP="00155D32">
            <w:pPr>
              <w:spacing w:line="360" w:lineRule="auto"/>
              <w:jc w:val="center"/>
              <w:rPr>
                <w:rFonts w:ascii="Century Gothic" w:hAnsi="Century Gothic" w:cstheme="minorHAnsi"/>
                <w:b/>
              </w:rPr>
            </w:pPr>
          </w:p>
        </w:tc>
        <w:tc>
          <w:tcPr>
            <w:tcW w:w="2533" w:type="pct"/>
            <w:shd w:val="clear" w:color="auto" w:fill="C4BC96" w:themeFill="background2" w:themeFillShade="BF"/>
          </w:tcPr>
          <w:p w14:paraId="0DDC0360" w14:textId="77777777" w:rsidR="00384C87" w:rsidRDefault="00384C87" w:rsidP="00155D32">
            <w:pPr>
              <w:spacing w:line="360" w:lineRule="auto"/>
              <w:jc w:val="center"/>
              <w:rPr>
                <w:rFonts w:ascii="Century Gothic" w:hAnsi="Century Gothic"/>
                <w:b/>
                <w:noProof/>
                <w:lang w:eastAsia="es-MX"/>
              </w:rPr>
            </w:pPr>
          </w:p>
          <w:p w14:paraId="4C7A27A8" w14:textId="77777777" w:rsidR="000E0338" w:rsidRPr="00384C87" w:rsidRDefault="000E0338" w:rsidP="00155D32">
            <w:pPr>
              <w:spacing w:line="360" w:lineRule="auto"/>
              <w:jc w:val="center"/>
              <w:rPr>
                <w:rFonts w:ascii="Century Gothic" w:hAnsi="Century Gothic"/>
                <w:b/>
                <w:noProof/>
                <w:lang w:eastAsia="es-MX"/>
              </w:rPr>
            </w:pPr>
            <w:r w:rsidRPr="00384C87">
              <w:rPr>
                <w:rFonts w:ascii="Century Gothic" w:hAnsi="Century Gothic"/>
                <w:b/>
                <w:noProof/>
                <w:lang w:eastAsia="es-MX"/>
              </w:rPr>
              <w:t>Riesgos al alza</w:t>
            </w:r>
          </w:p>
          <w:p w14:paraId="05503133" w14:textId="77777777" w:rsidR="00661215" w:rsidRPr="00384C87" w:rsidRDefault="00661215" w:rsidP="00155D32">
            <w:pPr>
              <w:spacing w:line="360" w:lineRule="auto"/>
              <w:jc w:val="center"/>
              <w:rPr>
                <w:rFonts w:ascii="Century Gothic" w:hAnsi="Century Gothic"/>
                <w:b/>
                <w:noProof/>
                <w:lang w:eastAsia="es-MX"/>
              </w:rPr>
            </w:pPr>
          </w:p>
        </w:tc>
      </w:tr>
      <w:tr w:rsidR="000E0338" w:rsidRPr="00384C87" w14:paraId="305C1EA2" w14:textId="77777777" w:rsidTr="006907C2">
        <w:trPr>
          <w:trHeight w:val="227"/>
          <w:jc w:val="center"/>
        </w:trPr>
        <w:tc>
          <w:tcPr>
            <w:tcW w:w="2467" w:type="pct"/>
            <w:vAlign w:val="center"/>
          </w:tcPr>
          <w:p w14:paraId="66849EF2" w14:textId="77777777" w:rsidR="000E0338" w:rsidRPr="00384C87" w:rsidRDefault="002E57AC" w:rsidP="00F76AC3">
            <w:pPr>
              <w:pStyle w:val="Prrafodelista"/>
              <w:numPr>
                <w:ilvl w:val="0"/>
                <w:numId w:val="1"/>
              </w:numPr>
              <w:ind w:left="284" w:hanging="284"/>
              <w:jc w:val="both"/>
              <w:rPr>
                <w:rFonts w:ascii="Century Gothic" w:hAnsi="Century Gothic"/>
                <w:sz w:val="20"/>
              </w:rPr>
            </w:pPr>
            <w:r w:rsidRPr="00384C87">
              <w:rPr>
                <w:rFonts w:ascii="Century Gothic" w:hAnsi="Century Gothic"/>
                <w:sz w:val="20"/>
              </w:rPr>
              <w:t xml:space="preserve">Una inflación global más persistente, especialmente en alimentos y </w:t>
            </w:r>
            <w:r w:rsidR="00F76AC3" w:rsidRPr="00384C87">
              <w:rPr>
                <w:rFonts w:ascii="Century Gothic" w:hAnsi="Century Gothic"/>
                <w:sz w:val="20"/>
              </w:rPr>
              <w:t>energía, podría dificultar la reducción de precios internos, limitando el consumo y aumentando los costos de producción.</w:t>
            </w:r>
          </w:p>
          <w:p w14:paraId="08D29B22" w14:textId="77777777" w:rsidR="00F76AC3" w:rsidRPr="00384C87" w:rsidRDefault="00F76AC3" w:rsidP="00F76AC3">
            <w:pPr>
              <w:pStyle w:val="Prrafodelista"/>
              <w:numPr>
                <w:ilvl w:val="0"/>
                <w:numId w:val="1"/>
              </w:numPr>
              <w:ind w:left="284" w:hanging="284"/>
              <w:jc w:val="both"/>
              <w:rPr>
                <w:rFonts w:ascii="Century Gothic" w:hAnsi="Century Gothic"/>
                <w:sz w:val="20"/>
              </w:rPr>
            </w:pPr>
            <w:r w:rsidRPr="00384C87">
              <w:rPr>
                <w:rFonts w:ascii="Century Gothic" w:hAnsi="Century Gothic"/>
                <w:sz w:val="20"/>
              </w:rPr>
              <w:t xml:space="preserve">Si las principales economías, como EE.UU., deciden mantener o aumentar sus tasas de interés debido a presiones inflacionarias, los costos de financiamiento para México se elevarían, afectando tanto el Sector Público como privado y limitando la inversión. </w:t>
            </w:r>
          </w:p>
          <w:p w14:paraId="12962C70" w14:textId="77777777" w:rsidR="00E36651" w:rsidRPr="00384C87" w:rsidRDefault="0087095D" w:rsidP="00F76AC3">
            <w:pPr>
              <w:pStyle w:val="Prrafodelista"/>
              <w:numPr>
                <w:ilvl w:val="0"/>
                <w:numId w:val="1"/>
              </w:numPr>
              <w:ind w:left="284" w:hanging="284"/>
              <w:jc w:val="both"/>
              <w:rPr>
                <w:rFonts w:ascii="Century Gothic" w:hAnsi="Century Gothic"/>
                <w:sz w:val="20"/>
              </w:rPr>
            </w:pPr>
            <w:r w:rsidRPr="00384C87">
              <w:rPr>
                <w:rFonts w:ascii="Century Gothic" w:hAnsi="Century Gothic"/>
                <w:sz w:val="20"/>
              </w:rPr>
              <w:t>Una ralentización en EE.UU. reduciría la demanda de exportaciones mexicanas, especialmente en sectores clave como la manufactura, afectando el crecimiento económico y el empleo en México.</w:t>
            </w:r>
          </w:p>
          <w:p w14:paraId="26338A4C" w14:textId="77777777" w:rsidR="0087095D" w:rsidRPr="00384C87" w:rsidRDefault="00CD743D" w:rsidP="00F76AC3">
            <w:pPr>
              <w:pStyle w:val="Prrafodelista"/>
              <w:numPr>
                <w:ilvl w:val="0"/>
                <w:numId w:val="1"/>
              </w:numPr>
              <w:ind w:left="284" w:hanging="284"/>
              <w:jc w:val="both"/>
              <w:rPr>
                <w:rFonts w:ascii="Century Gothic" w:hAnsi="Century Gothic"/>
                <w:sz w:val="20"/>
              </w:rPr>
            </w:pPr>
            <w:r w:rsidRPr="00384C87">
              <w:rPr>
                <w:rFonts w:ascii="Century Gothic" w:hAnsi="Century Gothic"/>
                <w:sz w:val="20"/>
              </w:rPr>
              <w:t>Una caída o un aumento abrupto en los precios del petróleo, debido a tensiones geopolíticas o cambios en la oferta global, impactaría los ingresos fiscales de México y podría aumentar la volatilidad de precios en el país.</w:t>
            </w:r>
          </w:p>
          <w:p w14:paraId="224D55A3" w14:textId="77777777" w:rsidR="00CD743D" w:rsidRPr="00384C87" w:rsidRDefault="00CD743D" w:rsidP="00F76AC3">
            <w:pPr>
              <w:pStyle w:val="Prrafodelista"/>
              <w:numPr>
                <w:ilvl w:val="0"/>
                <w:numId w:val="1"/>
              </w:numPr>
              <w:ind w:left="284" w:hanging="284"/>
              <w:jc w:val="both"/>
              <w:rPr>
                <w:rFonts w:ascii="Century Gothic" w:hAnsi="Century Gothic"/>
                <w:sz w:val="20"/>
              </w:rPr>
            </w:pPr>
            <w:r w:rsidRPr="00384C87">
              <w:rPr>
                <w:rFonts w:ascii="Century Gothic" w:hAnsi="Century Gothic"/>
                <w:sz w:val="20"/>
              </w:rPr>
              <w:t>Fenómenos como sequías, inundaciones o huracanes severos afectarían la producción agrícola, provocando escasez de alimentos y presiones inflacionarias, además de dañar la infraestructura y generar costos adicionales para su reconstrucción.</w:t>
            </w:r>
          </w:p>
          <w:p w14:paraId="0BDB0165" w14:textId="77777777" w:rsidR="00147DC5" w:rsidRPr="00384C87" w:rsidRDefault="00CD743D" w:rsidP="00F76AC3">
            <w:pPr>
              <w:pStyle w:val="Prrafodelista"/>
              <w:numPr>
                <w:ilvl w:val="0"/>
                <w:numId w:val="1"/>
              </w:numPr>
              <w:ind w:left="284" w:hanging="284"/>
              <w:jc w:val="both"/>
              <w:rPr>
                <w:rFonts w:ascii="Century Gothic" w:hAnsi="Century Gothic"/>
                <w:sz w:val="20"/>
              </w:rPr>
            </w:pPr>
            <w:r w:rsidRPr="00384C87">
              <w:rPr>
                <w:rFonts w:ascii="Century Gothic" w:hAnsi="Century Gothic"/>
                <w:sz w:val="20"/>
              </w:rPr>
              <w:t>Tensiones políticas o falta de resolución de diferencias, tanto internas como externas, podrían generar incertidumbre en los mercados, afectando las decisiones</w:t>
            </w:r>
            <w:r w:rsidR="00C752F2" w:rsidRPr="00384C87">
              <w:rPr>
                <w:rFonts w:ascii="Century Gothic" w:hAnsi="Century Gothic"/>
                <w:sz w:val="20"/>
              </w:rPr>
              <w:t xml:space="preserve"> de inversión y generar volatilidad del tipo de cambio.</w:t>
            </w:r>
          </w:p>
          <w:p w14:paraId="6BD1357D" w14:textId="77777777" w:rsidR="00147DC5" w:rsidRPr="00384C87" w:rsidRDefault="00147DC5" w:rsidP="00F76AC3">
            <w:pPr>
              <w:pStyle w:val="Prrafodelista"/>
              <w:numPr>
                <w:ilvl w:val="0"/>
                <w:numId w:val="1"/>
              </w:numPr>
              <w:ind w:left="284" w:hanging="284"/>
              <w:jc w:val="both"/>
              <w:rPr>
                <w:rFonts w:ascii="Century Gothic" w:hAnsi="Century Gothic"/>
                <w:sz w:val="20"/>
              </w:rPr>
            </w:pPr>
            <w:r w:rsidRPr="00384C87">
              <w:rPr>
                <w:rFonts w:ascii="Century Gothic" w:hAnsi="Century Gothic"/>
                <w:sz w:val="20"/>
              </w:rPr>
              <w:t xml:space="preserve">Un empeoramiento de las tensiones globales, especialmente entre las principales potencias, aumentaría la volatilidad financiera y el costo de importaciones clave, además de </w:t>
            </w:r>
            <w:r w:rsidRPr="00384C87">
              <w:rPr>
                <w:rFonts w:ascii="Century Gothic" w:hAnsi="Century Gothic"/>
                <w:sz w:val="20"/>
              </w:rPr>
              <w:lastRenderedPageBreak/>
              <w:t>incrementar la incertidumbre sobre las cadenas de suministró.</w:t>
            </w:r>
          </w:p>
          <w:p w14:paraId="53FDE648" w14:textId="77777777" w:rsidR="00CD743D" w:rsidRPr="00384C87" w:rsidRDefault="00CD743D" w:rsidP="00147DC5">
            <w:pPr>
              <w:pStyle w:val="Prrafodelista"/>
              <w:ind w:left="284"/>
              <w:jc w:val="both"/>
              <w:rPr>
                <w:rFonts w:ascii="Century Gothic" w:hAnsi="Century Gothic"/>
                <w:sz w:val="20"/>
              </w:rPr>
            </w:pPr>
            <w:r w:rsidRPr="00384C87">
              <w:rPr>
                <w:rFonts w:ascii="Century Gothic" w:hAnsi="Century Gothic"/>
                <w:sz w:val="20"/>
              </w:rPr>
              <w:t xml:space="preserve"> </w:t>
            </w:r>
          </w:p>
        </w:tc>
        <w:tc>
          <w:tcPr>
            <w:tcW w:w="2533" w:type="pct"/>
          </w:tcPr>
          <w:p w14:paraId="4E784B52" w14:textId="77777777" w:rsidR="000E0338" w:rsidRPr="00384C87" w:rsidRDefault="00065FF7" w:rsidP="00F76AC3">
            <w:pPr>
              <w:pStyle w:val="Prrafodelista"/>
              <w:numPr>
                <w:ilvl w:val="0"/>
                <w:numId w:val="1"/>
              </w:numPr>
              <w:ind w:left="284" w:hanging="284"/>
              <w:jc w:val="both"/>
              <w:rPr>
                <w:rFonts w:ascii="Century Gothic" w:hAnsi="Century Gothic"/>
                <w:sz w:val="20"/>
              </w:rPr>
            </w:pPr>
            <w:r w:rsidRPr="00384C87">
              <w:rPr>
                <w:rFonts w:ascii="Century Gothic" w:hAnsi="Century Gothic"/>
                <w:sz w:val="20"/>
              </w:rPr>
              <w:lastRenderedPageBreak/>
              <w:t xml:space="preserve">La disminución de tensiones internacionales podría aliviar las presiones inflacionarias y reducir la volatilidad de los precios de materias, lo que favorecería un ajuste gradual y ordenado de las tasas de interés globales. Esto impulsaría un entorno de menor costo financiero y fortalecería la inversión y el consumo. </w:t>
            </w:r>
          </w:p>
          <w:p w14:paraId="77EE6998" w14:textId="77777777" w:rsidR="000E0338" w:rsidRPr="00384C87" w:rsidRDefault="002F79AD" w:rsidP="00F76AC3">
            <w:pPr>
              <w:pStyle w:val="Prrafodelista"/>
              <w:numPr>
                <w:ilvl w:val="0"/>
                <w:numId w:val="1"/>
              </w:numPr>
              <w:ind w:left="284" w:hanging="284"/>
              <w:jc w:val="both"/>
              <w:rPr>
                <w:rFonts w:ascii="Century Gothic" w:hAnsi="Century Gothic"/>
                <w:sz w:val="20"/>
              </w:rPr>
            </w:pPr>
            <w:r w:rsidRPr="00384C87">
              <w:rPr>
                <w:rFonts w:ascii="Century Gothic" w:hAnsi="Century Gothic"/>
                <w:sz w:val="20"/>
              </w:rPr>
              <w:t xml:space="preserve">Nuevos estímulos que impulsen la economía china, especialmente a través </w:t>
            </w:r>
            <w:r w:rsidR="00545E4C" w:rsidRPr="00384C87">
              <w:rPr>
                <w:rFonts w:ascii="Century Gothic" w:hAnsi="Century Gothic"/>
                <w:sz w:val="20"/>
              </w:rPr>
              <w:t xml:space="preserve">de una mayor demanda interna, </w:t>
            </w:r>
            <w:r w:rsidR="00CF0235" w:rsidRPr="00384C87">
              <w:rPr>
                <w:rFonts w:ascii="Century Gothic" w:hAnsi="Century Gothic"/>
                <w:sz w:val="20"/>
              </w:rPr>
              <w:t>mejorarían las perspectivas de comercio global, aumentando la demanda de exportaciones mexicanas y favoreciendo las cadenas de suministro de sectores claves de la manufactura y la tecnología.</w:t>
            </w:r>
          </w:p>
          <w:p w14:paraId="1055E023" w14:textId="77777777" w:rsidR="00CF0235" w:rsidRPr="00384C87" w:rsidRDefault="000518C7" w:rsidP="00F76AC3">
            <w:pPr>
              <w:pStyle w:val="Prrafodelista"/>
              <w:numPr>
                <w:ilvl w:val="0"/>
                <w:numId w:val="1"/>
              </w:numPr>
              <w:ind w:left="284" w:hanging="284"/>
              <w:jc w:val="both"/>
              <w:rPr>
                <w:rFonts w:ascii="Century Gothic" w:hAnsi="Century Gothic"/>
                <w:sz w:val="20"/>
              </w:rPr>
            </w:pPr>
            <w:r w:rsidRPr="00384C87">
              <w:rPr>
                <w:rFonts w:ascii="Century Gothic" w:hAnsi="Century Gothic"/>
                <w:sz w:val="20"/>
              </w:rPr>
              <w:t>La adopción de nuevas tecnologías, incluyendo la inteligencia artificial, podría elevar la productividad, impulsando la oferta de insumos y reduciendo los tiempos de entrega. Además, México se beneficiaria de la inversión en infraestructura digital y tecnológica, mejorando la eficiencia de sus sectores productivos.</w:t>
            </w:r>
          </w:p>
          <w:p w14:paraId="49845231" w14:textId="77777777" w:rsidR="00B1086E" w:rsidRPr="00384C87" w:rsidRDefault="00B1086E" w:rsidP="00B1086E">
            <w:pPr>
              <w:pStyle w:val="Prrafodelista"/>
              <w:numPr>
                <w:ilvl w:val="0"/>
                <w:numId w:val="1"/>
              </w:numPr>
              <w:ind w:left="284" w:hanging="284"/>
              <w:jc w:val="both"/>
              <w:rPr>
                <w:rFonts w:ascii="Century Gothic" w:hAnsi="Century Gothic"/>
                <w:sz w:val="20"/>
              </w:rPr>
            </w:pPr>
            <w:r w:rsidRPr="00384C87">
              <w:rPr>
                <w:rFonts w:ascii="Century Gothic" w:hAnsi="Century Gothic"/>
                <w:sz w:val="20"/>
              </w:rPr>
              <w:t>La rápida consolidación del corredor transístmico potenciaría el comercio internacional, mejorando</w:t>
            </w:r>
            <w:r w:rsidR="0018407A" w:rsidRPr="00384C87">
              <w:rPr>
                <w:rFonts w:ascii="Century Gothic" w:hAnsi="Century Gothic"/>
                <w:sz w:val="20"/>
              </w:rPr>
              <w:t xml:space="preserve"> la conectividad logística y facilitando el acceso a los mercados asiáticos y norteamericanos. Esto dinamizaría a la región sur de México, aumentando su aportación al crecimiento nacional y atrayendo inversión.</w:t>
            </w:r>
          </w:p>
          <w:p w14:paraId="7451F378" w14:textId="77777777" w:rsidR="0018407A" w:rsidRPr="00384C87" w:rsidRDefault="0018407A" w:rsidP="0018407A">
            <w:pPr>
              <w:pStyle w:val="Prrafodelista"/>
              <w:numPr>
                <w:ilvl w:val="0"/>
                <w:numId w:val="1"/>
              </w:numPr>
              <w:ind w:left="284" w:hanging="284"/>
              <w:jc w:val="both"/>
              <w:rPr>
                <w:rFonts w:ascii="Century Gothic" w:hAnsi="Century Gothic"/>
                <w:sz w:val="20"/>
              </w:rPr>
            </w:pPr>
            <w:r w:rsidRPr="00384C87">
              <w:rPr>
                <w:rFonts w:ascii="Century Gothic" w:hAnsi="Century Gothic"/>
                <w:sz w:val="20"/>
              </w:rPr>
              <w:t xml:space="preserve">Un desarrollo acelerado de la industria minera, en particular la extracción y procesamiento de litio, posicionaría a México como proveedor </w:t>
            </w:r>
            <w:proofErr w:type="gramStart"/>
            <w:r w:rsidRPr="00384C87">
              <w:rPr>
                <w:rFonts w:ascii="Century Gothic" w:hAnsi="Century Gothic"/>
                <w:sz w:val="20"/>
              </w:rPr>
              <w:t xml:space="preserve">estratégico  </w:t>
            </w:r>
            <w:r w:rsidR="00226DC0" w:rsidRPr="00384C87">
              <w:rPr>
                <w:rFonts w:ascii="Century Gothic" w:hAnsi="Century Gothic"/>
                <w:sz w:val="20"/>
              </w:rPr>
              <w:t>de</w:t>
            </w:r>
            <w:proofErr w:type="gramEnd"/>
            <w:r w:rsidR="00226DC0" w:rsidRPr="00384C87">
              <w:rPr>
                <w:rFonts w:ascii="Century Gothic" w:hAnsi="Century Gothic"/>
                <w:sz w:val="20"/>
              </w:rPr>
              <w:t xml:space="preserve"> insumos tecnológicos. Este avance favorecería la cadena manufacturera de alta tecnología y aumentaría la relevancia de México en el mercado de </w:t>
            </w:r>
            <w:r w:rsidR="00226DC0" w:rsidRPr="00384C87">
              <w:rPr>
                <w:rFonts w:ascii="Century Gothic" w:hAnsi="Century Gothic"/>
                <w:sz w:val="20"/>
              </w:rPr>
              <w:lastRenderedPageBreak/>
              <w:t>energías renovables.</w:t>
            </w:r>
          </w:p>
          <w:p w14:paraId="06F6425A" w14:textId="77777777" w:rsidR="00012AE1" w:rsidRPr="00384C87" w:rsidRDefault="00543FB7" w:rsidP="0018407A">
            <w:pPr>
              <w:pStyle w:val="Prrafodelista"/>
              <w:numPr>
                <w:ilvl w:val="0"/>
                <w:numId w:val="1"/>
              </w:numPr>
              <w:ind w:left="284" w:hanging="284"/>
              <w:jc w:val="both"/>
              <w:rPr>
                <w:rFonts w:ascii="Century Gothic" w:hAnsi="Century Gothic"/>
                <w:sz w:val="20"/>
              </w:rPr>
            </w:pPr>
            <w:r w:rsidRPr="00384C87">
              <w:rPr>
                <w:rFonts w:ascii="Century Gothic" w:hAnsi="Century Gothic"/>
                <w:sz w:val="20"/>
              </w:rPr>
              <w:t>Un año con menor incidencia de fenómenos climatológicos adversos beneficiaria sectores clave como el turismo, la agricultura y la industria. Esto permitiría una mayor estabilidad en los precios, así como la producción y la oferta de servicios, favoreciendo el crecimiento económico en diversas regiones del país.</w:t>
            </w:r>
          </w:p>
        </w:tc>
      </w:tr>
    </w:tbl>
    <w:p w14:paraId="590FFF92" w14:textId="77777777" w:rsidR="00F5520E" w:rsidRPr="00384C87" w:rsidRDefault="00F5520E" w:rsidP="00661F68">
      <w:pPr>
        <w:spacing w:line="360" w:lineRule="auto"/>
        <w:jc w:val="both"/>
        <w:rPr>
          <w:rFonts w:ascii="Century Gothic" w:hAnsi="Century Gothic"/>
        </w:rPr>
      </w:pPr>
    </w:p>
    <w:p w14:paraId="55CC7242" w14:textId="77777777" w:rsidR="00661F68" w:rsidRPr="00384C87" w:rsidRDefault="00661F68" w:rsidP="00661F68">
      <w:pPr>
        <w:spacing w:line="360" w:lineRule="auto"/>
        <w:jc w:val="both"/>
        <w:rPr>
          <w:rFonts w:ascii="Century Gothic" w:hAnsi="Century Gothic"/>
        </w:rPr>
      </w:pPr>
      <w:r w:rsidRPr="00384C87">
        <w:rPr>
          <w:rFonts w:ascii="Century Gothic" w:hAnsi="Century Gothic"/>
        </w:rPr>
        <w:t xml:space="preserve">Escenario estimado de las principales variables macroeconómicas para cierre 2024 y 2025, se resumen a continuación: </w:t>
      </w:r>
    </w:p>
    <w:p w14:paraId="1F482F3C" w14:textId="77777777" w:rsidR="00661F68" w:rsidRPr="00384C87" w:rsidRDefault="00661F68" w:rsidP="00661F68">
      <w:pPr>
        <w:pStyle w:val="Prrafodelista"/>
        <w:numPr>
          <w:ilvl w:val="0"/>
          <w:numId w:val="2"/>
        </w:numPr>
        <w:spacing w:line="360" w:lineRule="auto"/>
        <w:jc w:val="both"/>
        <w:rPr>
          <w:rFonts w:ascii="Century Gothic" w:hAnsi="Century Gothic"/>
        </w:rPr>
      </w:pPr>
      <w:r w:rsidRPr="00384C87">
        <w:rPr>
          <w:rFonts w:ascii="Century Gothic" w:hAnsi="Century Gothic"/>
        </w:rPr>
        <w:t>Para el cierre del año 202</w:t>
      </w:r>
      <w:r w:rsidR="00D33C44" w:rsidRPr="00384C87">
        <w:rPr>
          <w:rFonts w:ascii="Century Gothic" w:hAnsi="Century Gothic"/>
        </w:rPr>
        <w:t>4</w:t>
      </w:r>
      <w:r w:rsidRPr="00384C87">
        <w:rPr>
          <w:rFonts w:ascii="Century Gothic" w:hAnsi="Century Gothic"/>
        </w:rPr>
        <w:t xml:space="preserve"> y 202</w:t>
      </w:r>
      <w:r w:rsidR="00D33C44" w:rsidRPr="00384C87">
        <w:rPr>
          <w:rFonts w:ascii="Century Gothic" w:hAnsi="Century Gothic"/>
        </w:rPr>
        <w:t>5</w:t>
      </w:r>
      <w:r w:rsidRPr="00384C87">
        <w:rPr>
          <w:rFonts w:ascii="Century Gothic" w:hAnsi="Century Gothic"/>
        </w:rPr>
        <w:t>, se estima que el crecimiento sea de 2.</w:t>
      </w:r>
      <w:r w:rsidR="006953EB" w:rsidRPr="00384C87">
        <w:rPr>
          <w:rFonts w:ascii="Century Gothic" w:hAnsi="Century Gothic"/>
        </w:rPr>
        <w:t>0</w:t>
      </w:r>
      <w:r w:rsidRPr="00384C87">
        <w:rPr>
          <w:rFonts w:ascii="Century Gothic" w:hAnsi="Century Gothic"/>
        </w:rPr>
        <w:t xml:space="preserve"> y </w:t>
      </w:r>
      <w:r w:rsidR="00BB060B" w:rsidRPr="00384C87">
        <w:rPr>
          <w:rFonts w:ascii="Century Gothic" w:hAnsi="Century Gothic"/>
        </w:rPr>
        <w:t>2.5</w:t>
      </w:r>
      <w:r w:rsidRPr="00384C87">
        <w:rPr>
          <w:rFonts w:ascii="Century Gothic" w:hAnsi="Century Gothic"/>
        </w:rPr>
        <w:t xml:space="preserve"> por ciento</w:t>
      </w:r>
      <w:r w:rsidR="00D33C44" w:rsidRPr="00384C87">
        <w:rPr>
          <w:rFonts w:ascii="Century Gothic" w:hAnsi="Century Gothic"/>
        </w:rPr>
        <w:t>,</w:t>
      </w:r>
      <w:r w:rsidRPr="00384C87">
        <w:rPr>
          <w:rFonts w:ascii="Century Gothic" w:hAnsi="Century Gothic"/>
        </w:rPr>
        <w:t xml:space="preserve"> respectivamente.</w:t>
      </w:r>
    </w:p>
    <w:p w14:paraId="2F48E1CC" w14:textId="77777777" w:rsidR="00661F68" w:rsidRPr="00384C87" w:rsidRDefault="00661F68" w:rsidP="00661F68">
      <w:pPr>
        <w:pStyle w:val="Prrafodelista"/>
        <w:numPr>
          <w:ilvl w:val="0"/>
          <w:numId w:val="2"/>
        </w:numPr>
        <w:spacing w:line="360" w:lineRule="auto"/>
        <w:jc w:val="both"/>
        <w:rPr>
          <w:rFonts w:ascii="Century Gothic" w:hAnsi="Century Gothic"/>
        </w:rPr>
      </w:pPr>
      <w:r w:rsidRPr="00384C87">
        <w:rPr>
          <w:rFonts w:ascii="Century Gothic" w:hAnsi="Century Gothic"/>
        </w:rPr>
        <w:t>La inflación 202</w:t>
      </w:r>
      <w:r w:rsidR="00D33C44" w:rsidRPr="00384C87">
        <w:rPr>
          <w:rFonts w:ascii="Century Gothic" w:hAnsi="Century Gothic"/>
        </w:rPr>
        <w:t>4</w:t>
      </w:r>
      <w:r w:rsidRPr="00384C87">
        <w:rPr>
          <w:rFonts w:ascii="Century Gothic" w:hAnsi="Century Gothic"/>
        </w:rPr>
        <w:t xml:space="preserve"> y 202</w:t>
      </w:r>
      <w:r w:rsidR="00D33C44" w:rsidRPr="00384C87">
        <w:rPr>
          <w:rFonts w:ascii="Century Gothic" w:hAnsi="Century Gothic"/>
        </w:rPr>
        <w:t>5</w:t>
      </w:r>
      <w:r w:rsidRPr="00384C87">
        <w:rPr>
          <w:rFonts w:ascii="Century Gothic" w:hAnsi="Century Gothic"/>
        </w:rPr>
        <w:t>, se estima se ubique al cierre anual en 4.</w:t>
      </w:r>
      <w:r w:rsidR="006953EB" w:rsidRPr="00384C87">
        <w:rPr>
          <w:rFonts w:ascii="Century Gothic" w:hAnsi="Century Gothic"/>
        </w:rPr>
        <w:t>3</w:t>
      </w:r>
      <w:r w:rsidRPr="00384C87">
        <w:rPr>
          <w:rFonts w:ascii="Century Gothic" w:hAnsi="Century Gothic"/>
        </w:rPr>
        <w:t xml:space="preserve"> y 3.</w:t>
      </w:r>
      <w:r w:rsidR="006953EB" w:rsidRPr="00384C87">
        <w:rPr>
          <w:rFonts w:ascii="Century Gothic" w:hAnsi="Century Gothic"/>
        </w:rPr>
        <w:t>5</w:t>
      </w:r>
      <w:r w:rsidRPr="00384C87">
        <w:rPr>
          <w:rFonts w:ascii="Century Gothic" w:hAnsi="Century Gothic"/>
        </w:rPr>
        <w:t xml:space="preserve"> por ciento; al mes de </w:t>
      </w:r>
      <w:r w:rsidR="00D33C44" w:rsidRPr="00384C87">
        <w:rPr>
          <w:rFonts w:ascii="Century Gothic" w:hAnsi="Century Gothic"/>
        </w:rPr>
        <w:t>octu</w:t>
      </w:r>
      <w:r w:rsidRPr="00384C87">
        <w:rPr>
          <w:rFonts w:ascii="Century Gothic" w:hAnsi="Century Gothic"/>
        </w:rPr>
        <w:t xml:space="preserve">bre tuvo un registro del 8.7 por ciento, debido al alza de los precios en alimentos y energéticos. </w:t>
      </w:r>
    </w:p>
    <w:p w14:paraId="1A0B1026" w14:textId="77777777" w:rsidR="00661F68" w:rsidRPr="00384C87" w:rsidRDefault="00661F68" w:rsidP="00661F68">
      <w:pPr>
        <w:pStyle w:val="Prrafodelista"/>
        <w:numPr>
          <w:ilvl w:val="0"/>
          <w:numId w:val="2"/>
        </w:numPr>
        <w:spacing w:line="360" w:lineRule="auto"/>
        <w:jc w:val="both"/>
        <w:rPr>
          <w:rFonts w:ascii="Century Gothic" w:hAnsi="Century Gothic"/>
        </w:rPr>
      </w:pPr>
      <w:r w:rsidRPr="00384C87">
        <w:rPr>
          <w:rFonts w:ascii="Century Gothic" w:hAnsi="Century Gothic"/>
        </w:rPr>
        <w:t xml:space="preserve">Tipo de cambio </w:t>
      </w:r>
      <w:proofErr w:type="gramStart"/>
      <w:r w:rsidRPr="00384C87">
        <w:rPr>
          <w:rFonts w:ascii="Century Gothic" w:hAnsi="Century Gothic"/>
        </w:rPr>
        <w:t>de  fin</w:t>
      </w:r>
      <w:proofErr w:type="gramEnd"/>
      <w:r w:rsidRPr="00384C87">
        <w:rPr>
          <w:rFonts w:ascii="Century Gothic" w:hAnsi="Century Gothic"/>
        </w:rPr>
        <w:t xml:space="preserve"> de periodo 202</w:t>
      </w:r>
      <w:r w:rsidR="00D33C44" w:rsidRPr="00384C87">
        <w:rPr>
          <w:rFonts w:ascii="Century Gothic" w:hAnsi="Century Gothic"/>
        </w:rPr>
        <w:t>4</w:t>
      </w:r>
      <w:r w:rsidRPr="00384C87">
        <w:rPr>
          <w:rFonts w:ascii="Century Gothic" w:hAnsi="Century Gothic"/>
        </w:rPr>
        <w:t xml:space="preserve"> de 1</w:t>
      </w:r>
      <w:r w:rsidR="006953EB" w:rsidRPr="00384C87">
        <w:rPr>
          <w:rFonts w:ascii="Century Gothic" w:hAnsi="Century Gothic"/>
        </w:rPr>
        <w:t>9</w:t>
      </w:r>
      <w:r w:rsidRPr="00384C87">
        <w:rPr>
          <w:rFonts w:ascii="Century Gothic" w:hAnsi="Century Gothic"/>
        </w:rPr>
        <w:t>.</w:t>
      </w:r>
      <w:r w:rsidR="006953EB" w:rsidRPr="00384C87">
        <w:rPr>
          <w:rFonts w:ascii="Century Gothic" w:hAnsi="Century Gothic"/>
        </w:rPr>
        <w:t>7</w:t>
      </w:r>
      <w:r w:rsidRPr="00384C87">
        <w:rPr>
          <w:rFonts w:ascii="Century Gothic" w:hAnsi="Century Gothic"/>
        </w:rPr>
        <w:t xml:space="preserve"> </w:t>
      </w:r>
      <w:r w:rsidR="00D33C44" w:rsidRPr="00384C87">
        <w:rPr>
          <w:rFonts w:ascii="Century Gothic" w:hAnsi="Century Gothic"/>
        </w:rPr>
        <w:t xml:space="preserve">pesos dólar </w:t>
      </w:r>
      <w:r w:rsidRPr="00384C87">
        <w:rPr>
          <w:rFonts w:ascii="Century Gothic" w:hAnsi="Century Gothic"/>
        </w:rPr>
        <w:t>y para 202</w:t>
      </w:r>
      <w:r w:rsidR="00D33C44" w:rsidRPr="00384C87">
        <w:rPr>
          <w:rFonts w:ascii="Century Gothic" w:hAnsi="Century Gothic"/>
        </w:rPr>
        <w:t>5</w:t>
      </w:r>
      <w:r w:rsidRPr="00384C87">
        <w:rPr>
          <w:rFonts w:ascii="Century Gothic" w:hAnsi="Century Gothic"/>
        </w:rPr>
        <w:t xml:space="preserve"> en 1</w:t>
      </w:r>
      <w:r w:rsidR="006953EB" w:rsidRPr="00384C87">
        <w:rPr>
          <w:rFonts w:ascii="Century Gothic" w:hAnsi="Century Gothic"/>
        </w:rPr>
        <w:t>8</w:t>
      </w:r>
      <w:r w:rsidRPr="00384C87">
        <w:rPr>
          <w:rFonts w:ascii="Century Gothic" w:hAnsi="Century Gothic"/>
        </w:rPr>
        <w:t>.5 pesos dólar y promediar 1</w:t>
      </w:r>
      <w:r w:rsidR="006953EB" w:rsidRPr="00384C87">
        <w:rPr>
          <w:rFonts w:ascii="Century Gothic" w:hAnsi="Century Gothic"/>
        </w:rPr>
        <w:t>8</w:t>
      </w:r>
      <w:r w:rsidRPr="00384C87">
        <w:rPr>
          <w:rFonts w:ascii="Century Gothic" w:hAnsi="Century Gothic"/>
        </w:rPr>
        <w:t>.</w:t>
      </w:r>
      <w:r w:rsidR="006953EB" w:rsidRPr="00384C87">
        <w:rPr>
          <w:rFonts w:ascii="Century Gothic" w:hAnsi="Century Gothic"/>
        </w:rPr>
        <w:t>2</w:t>
      </w:r>
      <w:r w:rsidRPr="00384C87">
        <w:rPr>
          <w:rFonts w:ascii="Century Gothic" w:hAnsi="Century Gothic"/>
        </w:rPr>
        <w:t xml:space="preserve"> y 1</w:t>
      </w:r>
      <w:r w:rsidR="006953EB" w:rsidRPr="00384C87">
        <w:rPr>
          <w:rFonts w:ascii="Century Gothic" w:hAnsi="Century Gothic"/>
        </w:rPr>
        <w:t>8</w:t>
      </w:r>
      <w:r w:rsidRPr="00384C87">
        <w:rPr>
          <w:rFonts w:ascii="Century Gothic" w:hAnsi="Century Gothic"/>
        </w:rPr>
        <w:t>.</w:t>
      </w:r>
      <w:r w:rsidR="006953EB" w:rsidRPr="00384C87">
        <w:rPr>
          <w:rFonts w:ascii="Century Gothic" w:hAnsi="Century Gothic"/>
        </w:rPr>
        <w:t>7</w:t>
      </w:r>
      <w:r w:rsidRPr="00384C87">
        <w:rPr>
          <w:rFonts w:ascii="Century Gothic" w:hAnsi="Century Gothic"/>
        </w:rPr>
        <w:t xml:space="preserve"> pesos dólar.</w:t>
      </w:r>
    </w:p>
    <w:p w14:paraId="35774EC2" w14:textId="77777777" w:rsidR="00661F68" w:rsidRPr="00384C87" w:rsidRDefault="00661F68" w:rsidP="00661F68">
      <w:pPr>
        <w:pStyle w:val="Prrafodelista"/>
        <w:numPr>
          <w:ilvl w:val="0"/>
          <w:numId w:val="2"/>
        </w:numPr>
        <w:spacing w:line="360" w:lineRule="auto"/>
        <w:jc w:val="both"/>
        <w:rPr>
          <w:rFonts w:ascii="Century Gothic" w:hAnsi="Century Gothic"/>
        </w:rPr>
      </w:pPr>
      <w:r w:rsidRPr="00384C87">
        <w:rPr>
          <w:rFonts w:ascii="Century Gothic" w:hAnsi="Century Gothic"/>
        </w:rPr>
        <w:t xml:space="preserve">Tasa de interés (cetes a 28 días), se espera que sea fin del periodo de </w:t>
      </w:r>
      <w:r w:rsidR="006953EB" w:rsidRPr="00384C87">
        <w:rPr>
          <w:rFonts w:ascii="Century Gothic" w:hAnsi="Century Gothic"/>
        </w:rPr>
        <w:t>19.7</w:t>
      </w:r>
      <w:r w:rsidRPr="00384C87">
        <w:rPr>
          <w:rFonts w:ascii="Century Gothic" w:hAnsi="Century Gothic"/>
        </w:rPr>
        <w:t xml:space="preserve"> y </w:t>
      </w:r>
      <w:r w:rsidR="006953EB" w:rsidRPr="00384C87">
        <w:rPr>
          <w:rFonts w:ascii="Century Gothic" w:hAnsi="Century Gothic"/>
        </w:rPr>
        <w:t>18.5</w:t>
      </w:r>
      <w:r w:rsidRPr="00384C87">
        <w:rPr>
          <w:rFonts w:ascii="Century Gothic" w:hAnsi="Century Gothic"/>
        </w:rPr>
        <w:t xml:space="preserve"> por ciento, en promedio </w:t>
      </w:r>
      <w:r w:rsidR="006953EB" w:rsidRPr="00384C87">
        <w:rPr>
          <w:rFonts w:ascii="Century Gothic" w:hAnsi="Century Gothic"/>
        </w:rPr>
        <w:t>18.2</w:t>
      </w:r>
      <w:r w:rsidRPr="00384C87">
        <w:rPr>
          <w:rFonts w:ascii="Century Gothic" w:hAnsi="Century Gothic"/>
        </w:rPr>
        <w:t xml:space="preserve"> y </w:t>
      </w:r>
      <w:r w:rsidR="006953EB" w:rsidRPr="00384C87">
        <w:rPr>
          <w:rFonts w:ascii="Century Gothic" w:hAnsi="Century Gothic"/>
        </w:rPr>
        <w:t>18.7</w:t>
      </w:r>
      <w:r w:rsidRPr="00384C87">
        <w:rPr>
          <w:rFonts w:ascii="Century Gothic" w:hAnsi="Century Gothic"/>
        </w:rPr>
        <w:t xml:space="preserve"> para 202</w:t>
      </w:r>
      <w:r w:rsidR="00D33C44" w:rsidRPr="00384C87">
        <w:rPr>
          <w:rFonts w:ascii="Century Gothic" w:hAnsi="Century Gothic"/>
        </w:rPr>
        <w:t>4</w:t>
      </w:r>
      <w:r w:rsidRPr="00384C87">
        <w:rPr>
          <w:rFonts w:ascii="Century Gothic" w:hAnsi="Century Gothic"/>
        </w:rPr>
        <w:t xml:space="preserve"> y 202</w:t>
      </w:r>
      <w:r w:rsidR="00D33C44" w:rsidRPr="00384C87">
        <w:rPr>
          <w:rFonts w:ascii="Century Gothic" w:hAnsi="Century Gothic"/>
        </w:rPr>
        <w:t>5</w:t>
      </w:r>
      <w:r w:rsidRPr="00384C87">
        <w:rPr>
          <w:rFonts w:ascii="Century Gothic" w:hAnsi="Century Gothic"/>
        </w:rPr>
        <w:t>.</w:t>
      </w:r>
    </w:p>
    <w:p w14:paraId="3D1530DC" w14:textId="77777777" w:rsidR="00661F68" w:rsidRPr="00384C87" w:rsidRDefault="00661F68" w:rsidP="00661F68">
      <w:pPr>
        <w:pStyle w:val="Prrafodelista"/>
        <w:numPr>
          <w:ilvl w:val="0"/>
          <w:numId w:val="2"/>
        </w:numPr>
        <w:spacing w:line="360" w:lineRule="auto"/>
        <w:jc w:val="both"/>
        <w:rPr>
          <w:rFonts w:ascii="Century Gothic" w:hAnsi="Century Gothic"/>
        </w:rPr>
      </w:pPr>
      <w:r w:rsidRPr="00384C87">
        <w:rPr>
          <w:rFonts w:ascii="Century Gothic" w:hAnsi="Century Gothic"/>
        </w:rPr>
        <w:t>Precio del Petróleo, precio promedio de la mezcla mexicana de exportación 202</w:t>
      </w:r>
      <w:r w:rsidR="008772D2" w:rsidRPr="00384C87">
        <w:rPr>
          <w:rFonts w:ascii="Century Gothic" w:hAnsi="Century Gothic"/>
        </w:rPr>
        <w:t>4</w:t>
      </w:r>
      <w:r w:rsidRPr="00384C87">
        <w:rPr>
          <w:rFonts w:ascii="Century Gothic" w:hAnsi="Century Gothic"/>
        </w:rPr>
        <w:t xml:space="preserve"> y 202</w:t>
      </w:r>
      <w:r w:rsidR="008772D2" w:rsidRPr="00384C87">
        <w:rPr>
          <w:rFonts w:ascii="Century Gothic" w:hAnsi="Century Gothic"/>
        </w:rPr>
        <w:t>5</w:t>
      </w:r>
      <w:r w:rsidRPr="00384C87">
        <w:rPr>
          <w:rFonts w:ascii="Century Gothic" w:hAnsi="Century Gothic"/>
        </w:rPr>
        <w:t xml:space="preserve"> de </w:t>
      </w:r>
      <w:r w:rsidR="008772D2" w:rsidRPr="00384C87">
        <w:rPr>
          <w:rFonts w:ascii="Century Gothic" w:hAnsi="Century Gothic"/>
        </w:rPr>
        <w:t>70.7</w:t>
      </w:r>
      <w:r w:rsidRPr="00384C87">
        <w:rPr>
          <w:rFonts w:ascii="Century Gothic" w:hAnsi="Century Gothic"/>
        </w:rPr>
        <w:t xml:space="preserve"> y de </w:t>
      </w:r>
      <w:r w:rsidR="008772D2" w:rsidRPr="00384C87">
        <w:rPr>
          <w:rFonts w:ascii="Century Gothic" w:hAnsi="Century Gothic"/>
        </w:rPr>
        <w:t>57.8</w:t>
      </w:r>
      <w:r w:rsidRPr="00384C87">
        <w:rPr>
          <w:rFonts w:ascii="Century Gothic" w:hAnsi="Century Gothic"/>
        </w:rPr>
        <w:t xml:space="preserve"> dólares por barril (</w:t>
      </w:r>
      <w:proofErr w:type="spellStart"/>
      <w:r w:rsidRPr="00384C87">
        <w:rPr>
          <w:rFonts w:ascii="Century Gothic" w:hAnsi="Century Gothic"/>
        </w:rPr>
        <w:t>dlb</w:t>
      </w:r>
      <w:proofErr w:type="spellEnd"/>
      <w:r w:rsidRPr="00384C87">
        <w:rPr>
          <w:rFonts w:ascii="Century Gothic" w:hAnsi="Century Gothic"/>
        </w:rPr>
        <w:t>).</w:t>
      </w:r>
    </w:p>
    <w:p w14:paraId="71002D3A" w14:textId="77777777" w:rsidR="00661F68" w:rsidRPr="00384C87" w:rsidRDefault="00661F68" w:rsidP="00661F68">
      <w:pPr>
        <w:pStyle w:val="Prrafodelista"/>
        <w:numPr>
          <w:ilvl w:val="0"/>
          <w:numId w:val="2"/>
        </w:numPr>
        <w:spacing w:line="360" w:lineRule="auto"/>
        <w:jc w:val="both"/>
        <w:rPr>
          <w:rFonts w:ascii="Century Gothic" w:hAnsi="Century Gothic"/>
        </w:rPr>
      </w:pPr>
      <w:r w:rsidRPr="00384C87">
        <w:rPr>
          <w:rFonts w:ascii="Century Gothic" w:hAnsi="Century Gothic"/>
        </w:rPr>
        <w:t>Plataforma de producción del petróleo para 202</w:t>
      </w:r>
      <w:r w:rsidR="00D33C44" w:rsidRPr="00384C87">
        <w:rPr>
          <w:rFonts w:ascii="Century Gothic" w:hAnsi="Century Gothic"/>
        </w:rPr>
        <w:t>4</w:t>
      </w:r>
      <w:r w:rsidRPr="00384C87">
        <w:rPr>
          <w:rFonts w:ascii="Century Gothic" w:hAnsi="Century Gothic"/>
        </w:rPr>
        <w:t xml:space="preserve"> que sea de cierre en Un millón </w:t>
      </w:r>
      <w:r w:rsidR="001E29BB" w:rsidRPr="00384C87">
        <w:rPr>
          <w:rFonts w:ascii="Century Gothic" w:hAnsi="Century Gothic"/>
        </w:rPr>
        <w:t>877</w:t>
      </w:r>
      <w:r w:rsidRPr="00384C87">
        <w:rPr>
          <w:rFonts w:ascii="Century Gothic" w:hAnsi="Century Gothic"/>
        </w:rPr>
        <w:t xml:space="preserve"> mil barriles diarios a Un millón </w:t>
      </w:r>
      <w:r w:rsidR="001E29BB" w:rsidRPr="00384C87">
        <w:rPr>
          <w:rFonts w:ascii="Century Gothic" w:hAnsi="Century Gothic"/>
        </w:rPr>
        <w:t>891</w:t>
      </w:r>
      <w:r w:rsidRPr="00384C87">
        <w:rPr>
          <w:rFonts w:ascii="Century Gothic" w:hAnsi="Century Gothic"/>
        </w:rPr>
        <w:t xml:space="preserve"> mil barriles diarios</w:t>
      </w:r>
      <w:r w:rsidR="009B7007" w:rsidRPr="00384C87">
        <w:rPr>
          <w:rFonts w:ascii="Century Gothic" w:hAnsi="Century Gothic"/>
        </w:rPr>
        <w:t>,</w:t>
      </w:r>
      <w:r w:rsidRPr="00384C87">
        <w:rPr>
          <w:rFonts w:ascii="Century Gothic" w:hAnsi="Century Gothic"/>
        </w:rPr>
        <w:t xml:space="preserve"> para 202</w:t>
      </w:r>
      <w:r w:rsidR="00D33C44" w:rsidRPr="00384C87">
        <w:rPr>
          <w:rFonts w:ascii="Century Gothic" w:hAnsi="Century Gothic"/>
        </w:rPr>
        <w:t>5</w:t>
      </w:r>
      <w:r w:rsidRPr="00384C87">
        <w:rPr>
          <w:rFonts w:ascii="Century Gothic" w:hAnsi="Century Gothic"/>
        </w:rPr>
        <w:t xml:space="preserve">. </w:t>
      </w:r>
    </w:p>
    <w:p w14:paraId="1085B186" w14:textId="77777777" w:rsidR="00F678B2" w:rsidRDefault="00F678B2" w:rsidP="00661F68">
      <w:pPr>
        <w:jc w:val="center"/>
        <w:rPr>
          <w:rFonts w:ascii="Century Gothic" w:hAnsi="Century Gothic"/>
          <w:b/>
        </w:rPr>
      </w:pPr>
    </w:p>
    <w:p w14:paraId="0DEEE11D" w14:textId="77777777" w:rsidR="00F678B2" w:rsidRDefault="00F678B2" w:rsidP="00661F68">
      <w:pPr>
        <w:jc w:val="center"/>
        <w:rPr>
          <w:rFonts w:ascii="Century Gothic" w:hAnsi="Century Gothic"/>
          <w:b/>
        </w:rPr>
      </w:pPr>
    </w:p>
    <w:p w14:paraId="2CEB15BF" w14:textId="77777777" w:rsidR="00F678B2" w:rsidRDefault="00F678B2" w:rsidP="00F678B2">
      <w:pPr>
        <w:rPr>
          <w:rFonts w:ascii="Century Gothic" w:hAnsi="Century Gothic"/>
          <w:b/>
        </w:rPr>
      </w:pPr>
    </w:p>
    <w:p w14:paraId="2ED40AF3" w14:textId="565F9BDB" w:rsidR="00661F68" w:rsidRPr="00384C87" w:rsidRDefault="00661F68" w:rsidP="00661F68">
      <w:pPr>
        <w:jc w:val="center"/>
        <w:rPr>
          <w:rFonts w:ascii="Century Gothic" w:hAnsi="Century Gothic"/>
          <w:b/>
        </w:rPr>
      </w:pPr>
      <w:r w:rsidRPr="00384C87">
        <w:rPr>
          <w:rFonts w:ascii="Century Gothic" w:hAnsi="Century Gothic"/>
          <w:b/>
        </w:rPr>
        <w:lastRenderedPageBreak/>
        <w:t>Cuadro I.2</w:t>
      </w:r>
    </w:p>
    <w:p w14:paraId="17B4CFF1" w14:textId="77777777" w:rsidR="00661F68" w:rsidRPr="00384C87" w:rsidRDefault="00661F68" w:rsidP="00661F68">
      <w:pPr>
        <w:jc w:val="center"/>
        <w:rPr>
          <w:rFonts w:ascii="Century Gothic" w:hAnsi="Century Gothic"/>
          <w:b/>
        </w:rPr>
      </w:pPr>
      <w:r w:rsidRPr="00384C87">
        <w:rPr>
          <w:rFonts w:ascii="Century Gothic" w:hAnsi="Century Gothic"/>
          <w:b/>
        </w:rPr>
        <w:t>Resumen Marco macroeconómico, 202</w:t>
      </w:r>
      <w:r w:rsidR="00D33C44" w:rsidRPr="00384C87">
        <w:rPr>
          <w:rFonts w:ascii="Century Gothic" w:hAnsi="Century Gothic"/>
          <w:b/>
        </w:rPr>
        <w:t>4</w:t>
      </w:r>
      <w:r w:rsidRPr="00384C87">
        <w:rPr>
          <w:rFonts w:ascii="Century Gothic" w:hAnsi="Century Gothic"/>
          <w:b/>
        </w:rPr>
        <w:t>-202</w:t>
      </w:r>
      <w:r w:rsidR="00D33C44" w:rsidRPr="00384C87">
        <w:rPr>
          <w:rFonts w:ascii="Century Gothic" w:hAnsi="Century Gothic"/>
          <w:b/>
        </w:rPr>
        <w:t>5</w:t>
      </w:r>
      <w:r w:rsidRPr="00384C87">
        <w:rPr>
          <w:rFonts w:ascii="Century Gothic" w:hAnsi="Century Gothic"/>
          <w:b/>
          <w:vertAlign w:val="superscript"/>
        </w:rPr>
        <w:t>e</w:t>
      </w:r>
    </w:p>
    <w:p w14:paraId="0E9A04DB" w14:textId="77777777" w:rsidR="004250BD" w:rsidRPr="00384C87" w:rsidRDefault="007D40E0" w:rsidP="008C17A2">
      <w:pPr>
        <w:jc w:val="center"/>
        <w:rPr>
          <w:rFonts w:ascii="Century Gothic" w:hAnsi="Century Gothic"/>
          <w:b/>
          <w:highlight w:val="yellow"/>
        </w:rPr>
      </w:pPr>
      <w:r w:rsidRPr="00384C87">
        <w:rPr>
          <w:rFonts w:ascii="Century Gothic" w:hAnsi="Century Gothic"/>
          <w:b/>
          <w:highlight w:val="yellow"/>
        </w:rPr>
        <w:object w:dxaOrig="9258" w:dyaOrig="7733" w14:anchorId="41A2AA8E">
          <v:shape id="_x0000_i1026" type="#_x0000_t75" style="width:316.8pt;height:267.35pt;mso-position-horizontal:absolute" o:ole="" filled="t" fillcolor="white [3212]">
            <v:imagedata r:id="rId12" o:title=""/>
          </v:shape>
          <o:OLEObject Type="Embed" ProgID="Excel.Sheet.12" ShapeID="_x0000_i1026" DrawAspect="Content" ObjectID="_1820651788" r:id="rId13"/>
        </w:object>
      </w:r>
    </w:p>
    <w:p w14:paraId="45B8F0CB" w14:textId="77777777" w:rsidR="00522686" w:rsidRPr="00384C87" w:rsidRDefault="00522686" w:rsidP="00522686">
      <w:pPr>
        <w:jc w:val="both"/>
        <w:rPr>
          <w:rFonts w:ascii="Century Gothic" w:hAnsi="Century Gothic"/>
          <w:b/>
        </w:rPr>
      </w:pPr>
      <w:r w:rsidRPr="00384C87">
        <w:rPr>
          <w:rFonts w:ascii="Century Gothic" w:hAnsi="Century Gothic"/>
          <w:b/>
        </w:rPr>
        <w:t>I.3 Entorno de la Economía del Estado de Chiapas</w:t>
      </w:r>
    </w:p>
    <w:p w14:paraId="78F9AA78" w14:textId="538B0C9C" w:rsidR="00B85625" w:rsidRPr="00F678B2" w:rsidRDefault="00954A21" w:rsidP="00F678B2">
      <w:pPr>
        <w:spacing w:line="360" w:lineRule="auto"/>
        <w:jc w:val="both"/>
        <w:rPr>
          <w:rFonts w:ascii="Century Gothic" w:hAnsi="Century Gothic"/>
        </w:rPr>
      </w:pPr>
      <w:r w:rsidRPr="00384C87">
        <w:rPr>
          <w:rFonts w:ascii="Century Gothic" w:hAnsi="Century Gothic"/>
          <w:bCs/>
        </w:rPr>
        <w:t>Ante un</w:t>
      </w:r>
      <w:r w:rsidR="00F82BC2" w:rsidRPr="00384C87">
        <w:rPr>
          <w:rFonts w:ascii="Century Gothic" w:hAnsi="Century Gothic"/>
          <w:bCs/>
        </w:rPr>
        <w:t xml:space="preserve"> entorno </w:t>
      </w:r>
      <w:r w:rsidRPr="00384C87">
        <w:rPr>
          <w:rFonts w:ascii="Century Gothic" w:hAnsi="Century Gothic"/>
          <w:bCs/>
        </w:rPr>
        <w:t xml:space="preserve">económico </w:t>
      </w:r>
      <w:r w:rsidR="00BC6D72" w:rsidRPr="00384C87">
        <w:rPr>
          <w:rFonts w:ascii="Century Gothic" w:hAnsi="Century Gothic"/>
          <w:bCs/>
        </w:rPr>
        <w:t xml:space="preserve">nacional y mundial </w:t>
      </w:r>
      <w:r w:rsidRPr="00384C87">
        <w:rPr>
          <w:rFonts w:ascii="Century Gothic" w:hAnsi="Century Gothic"/>
          <w:bCs/>
        </w:rPr>
        <w:t>complejo</w:t>
      </w:r>
      <w:r w:rsidR="00544C4C" w:rsidRPr="00384C87">
        <w:rPr>
          <w:rFonts w:ascii="Century Gothic" w:hAnsi="Century Gothic"/>
          <w:bCs/>
        </w:rPr>
        <w:t>,</w:t>
      </w:r>
      <w:r w:rsidR="007B283A" w:rsidRPr="00384C87">
        <w:rPr>
          <w:rFonts w:ascii="Century Gothic" w:hAnsi="Century Gothic"/>
          <w:bCs/>
        </w:rPr>
        <w:t xml:space="preserve"> la entidad </w:t>
      </w:r>
      <w:r w:rsidR="007B283A" w:rsidRPr="00384C87">
        <w:rPr>
          <w:rFonts w:ascii="Century Gothic" w:hAnsi="Century Gothic"/>
        </w:rPr>
        <w:t xml:space="preserve">ha registrado una evolución positiva en los últimos años en su crecimiento real, lo que ha permitido mayor dinamismo </w:t>
      </w:r>
      <w:r w:rsidRPr="00384C87">
        <w:rPr>
          <w:rFonts w:ascii="Century Gothic" w:hAnsi="Century Gothic"/>
        </w:rPr>
        <w:t xml:space="preserve">al interior </w:t>
      </w:r>
      <w:r w:rsidR="007B283A" w:rsidRPr="00384C87">
        <w:rPr>
          <w:rFonts w:ascii="Century Gothic" w:hAnsi="Century Gothic"/>
        </w:rPr>
        <w:t xml:space="preserve">de sus principales sectores económicos. La dinamización de las variables que intervienen en el desempeño de la </w:t>
      </w:r>
      <w:r w:rsidR="00BC6D72" w:rsidRPr="00384C87">
        <w:rPr>
          <w:rFonts w:ascii="Century Gothic" w:hAnsi="Century Gothic"/>
        </w:rPr>
        <w:t>economía son</w:t>
      </w:r>
      <w:r w:rsidR="007B283A" w:rsidRPr="00384C87">
        <w:rPr>
          <w:rFonts w:ascii="Century Gothic" w:hAnsi="Century Gothic"/>
        </w:rPr>
        <w:t>: Producto Interno Bruto (PIB), inflación, remesas, empleo, y otros indicadores macroeconómicos que inciden en l</w:t>
      </w:r>
      <w:r w:rsidR="00BC6D72" w:rsidRPr="00384C87">
        <w:rPr>
          <w:rFonts w:ascii="Century Gothic" w:hAnsi="Century Gothic"/>
        </w:rPr>
        <w:t>os resultados</w:t>
      </w:r>
      <w:r w:rsidR="007B283A" w:rsidRPr="00384C87">
        <w:rPr>
          <w:rFonts w:ascii="Century Gothic" w:hAnsi="Century Gothic"/>
        </w:rPr>
        <w:t xml:space="preserve"> y que </w:t>
      </w:r>
      <w:r w:rsidRPr="00384C87">
        <w:rPr>
          <w:rFonts w:ascii="Century Gothic" w:hAnsi="Century Gothic"/>
        </w:rPr>
        <w:t>sirven como marco</w:t>
      </w:r>
      <w:r w:rsidR="007B283A" w:rsidRPr="00384C87">
        <w:rPr>
          <w:rFonts w:ascii="Century Gothic" w:hAnsi="Century Gothic"/>
        </w:rPr>
        <w:t xml:space="preserve"> de referencia para el gasto público a ejercer y </w:t>
      </w:r>
      <w:r w:rsidR="00BC6D72" w:rsidRPr="00384C87">
        <w:rPr>
          <w:rFonts w:ascii="Century Gothic" w:hAnsi="Century Gothic"/>
        </w:rPr>
        <w:t xml:space="preserve">políticas públicas que </w:t>
      </w:r>
      <w:r w:rsidR="007B283A" w:rsidRPr="00384C87">
        <w:rPr>
          <w:rFonts w:ascii="Century Gothic" w:hAnsi="Century Gothic"/>
        </w:rPr>
        <w:t>contribu</w:t>
      </w:r>
      <w:r w:rsidR="00BC6D72" w:rsidRPr="00384C87">
        <w:rPr>
          <w:rFonts w:ascii="Century Gothic" w:hAnsi="Century Gothic"/>
        </w:rPr>
        <w:t>yan</w:t>
      </w:r>
      <w:r w:rsidR="007B283A" w:rsidRPr="00384C87">
        <w:rPr>
          <w:rFonts w:ascii="Century Gothic" w:hAnsi="Century Gothic"/>
        </w:rPr>
        <w:t xml:space="preserve"> al desarrollo del </w:t>
      </w:r>
      <w:r w:rsidR="00BC6D72" w:rsidRPr="00384C87">
        <w:rPr>
          <w:rFonts w:ascii="Century Gothic" w:hAnsi="Century Gothic"/>
        </w:rPr>
        <w:t>E</w:t>
      </w:r>
      <w:r w:rsidR="007B283A" w:rsidRPr="00384C87">
        <w:rPr>
          <w:rFonts w:ascii="Century Gothic" w:hAnsi="Century Gothic"/>
        </w:rPr>
        <w:t xml:space="preserve">stado de Chiapas. Además, </w:t>
      </w:r>
      <w:r w:rsidR="00DC2524" w:rsidRPr="00384C87">
        <w:rPr>
          <w:rFonts w:ascii="Century Gothic" w:hAnsi="Century Gothic"/>
        </w:rPr>
        <w:t xml:space="preserve">con la presente administración </w:t>
      </w:r>
      <w:r w:rsidR="007B283A" w:rsidRPr="00384C87">
        <w:rPr>
          <w:rFonts w:ascii="Century Gothic" w:hAnsi="Century Gothic"/>
        </w:rPr>
        <w:t xml:space="preserve">se promoverán </w:t>
      </w:r>
      <w:r w:rsidR="007B283A" w:rsidRPr="00384C87">
        <w:rPr>
          <w:rFonts w:ascii="Century Gothic" w:hAnsi="Century Gothic"/>
          <w:bCs/>
        </w:rPr>
        <w:t xml:space="preserve">acciones que </w:t>
      </w:r>
      <w:r w:rsidR="00DC2524" w:rsidRPr="00384C87">
        <w:rPr>
          <w:rFonts w:ascii="Century Gothic" w:hAnsi="Century Gothic"/>
          <w:bCs/>
        </w:rPr>
        <w:t xml:space="preserve">se </w:t>
      </w:r>
      <w:r w:rsidR="007B283A" w:rsidRPr="00384C87">
        <w:rPr>
          <w:rFonts w:ascii="Century Gothic" w:hAnsi="Century Gothic"/>
          <w:bCs/>
        </w:rPr>
        <w:t xml:space="preserve">impulsarán con </w:t>
      </w:r>
      <w:r w:rsidRPr="00384C87">
        <w:rPr>
          <w:rFonts w:ascii="Century Gothic" w:hAnsi="Century Gothic"/>
          <w:bCs/>
        </w:rPr>
        <w:t>todos los</w:t>
      </w:r>
      <w:r w:rsidR="007B283A" w:rsidRPr="00384C87">
        <w:rPr>
          <w:rFonts w:ascii="Century Gothic" w:hAnsi="Century Gothic"/>
          <w:bCs/>
        </w:rPr>
        <w:t xml:space="preserve"> sectores sociales del </w:t>
      </w:r>
      <w:r w:rsidR="00BC6D72" w:rsidRPr="00384C87">
        <w:rPr>
          <w:rFonts w:ascii="Century Gothic" w:hAnsi="Century Gothic"/>
          <w:bCs/>
        </w:rPr>
        <w:t>E</w:t>
      </w:r>
      <w:r w:rsidR="007B283A" w:rsidRPr="00384C87">
        <w:rPr>
          <w:rFonts w:ascii="Century Gothic" w:hAnsi="Century Gothic"/>
          <w:bCs/>
        </w:rPr>
        <w:t xml:space="preserve">stado, </w:t>
      </w:r>
      <w:r w:rsidR="00DC2524" w:rsidRPr="00384C87">
        <w:rPr>
          <w:rFonts w:ascii="Century Gothic" w:hAnsi="Century Gothic"/>
          <w:bCs/>
        </w:rPr>
        <w:t>y en unidad se avanzara</w:t>
      </w:r>
      <w:r w:rsidR="00544C4C" w:rsidRPr="00384C87">
        <w:rPr>
          <w:rFonts w:ascii="Century Gothic" w:hAnsi="Century Gothic"/>
          <w:i/>
          <w:iCs/>
        </w:rPr>
        <w:t xml:space="preserve"> </w:t>
      </w:r>
      <w:r w:rsidR="00544C4C" w:rsidRPr="00384C87">
        <w:rPr>
          <w:rFonts w:ascii="Century Gothic" w:hAnsi="Century Gothic"/>
          <w:iCs/>
        </w:rPr>
        <w:t xml:space="preserve">con el </w:t>
      </w:r>
      <w:r w:rsidR="00F82BC2" w:rsidRPr="00384C87">
        <w:rPr>
          <w:rFonts w:ascii="Century Gothic" w:hAnsi="Century Gothic"/>
          <w:bCs/>
        </w:rPr>
        <w:t>Plan Chiapas Transformador</w:t>
      </w:r>
      <w:r w:rsidR="00F82BC2" w:rsidRPr="00384C87">
        <w:rPr>
          <w:rFonts w:ascii="Century Gothic" w:hAnsi="Century Gothic"/>
        </w:rPr>
        <w:t> </w:t>
      </w:r>
      <w:r w:rsidR="00544C4C" w:rsidRPr="00384C87">
        <w:rPr>
          <w:rFonts w:ascii="Century Gothic" w:hAnsi="Century Gothic"/>
        </w:rPr>
        <w:t xml:space="preserve">que </w:t>
      </w:r>
      <w:r w:rsidR="00F82BC2" w:rsidRPr="00384C87">
        <w:rPr>
          <w:rFonts w:ascii="Century Gothic" w:hAnsi="Century Gothic"/>
        </w:rPr>
        <w:t>tiene objetivos claros como abordar las causas estructurales de la pobreza y la desigualdad, con especial enfoque en las comunidades rurales</w:t>
      </w:r>
      <w:r w:rsidR="00BC6D72" w:rsidRPr="00384C87">
        <w:rPr>
          <w:rFonts w:ascii="Century Gothic" w:hAnsi="Century Gothic"/>
        </w:rPr>
        <w:t>.</w:t>
      </w:r>
    </w:p>
    <w:p w14:paraId="1D0DB375" w14:textId="77777777" w:rsidR="00522686" w:rsidRPr="00384C87" w:rsidRDefault="00522686" w:rsidP="00522686">
      <w:pPr>
        <w:jc w:val="both"/>
        <w:rPr>
          <w:rFonts w:ascii="Century Gothic" w:hAnsi="Century Gothic"/>
          <w:b/>
        </w:rPr>
      </w:pPr>
      <w:r w:rsidRPr="00384C87">
        <w:rPr>
          <w:rFonts w:ascii="Century Gothic" w:hAnsi="Century Gothic"/>
          <w:b/>
        </w:rPr>
        <w:lastRenderedPageBreak/>
        <w:t>I.3.1 PIB e Inflación de Chiapas</w:t>
      </w:r>
    </w:p>
    <w:p w14:paraId="31AA5EB4" w14:textId="77777777" w:rsidR="009048B4" w:rsidRPr="00384C87" w:rsidRDefault="00FB743E" w:rsidP="009048B4">
      <w:pPr>
        <w:spacing w:line="360" w:lineRule="auto"/>
        <w:jc w:val="both"/>
        <w:rPr>
          <w:rFonts w:ascii="Century Gothic" w:hAnsi="Century Gothic"/>
        </w:rPr>
      </w:pPr>
      <w:r w:rsidRPr="00384C87">
        <w:rPr>
          <w:rFonts w:ascii="Century Gothic" w:hAnsi="Century Gothic"/>
        </w:rPr>
        <w:t>L</w:t>
      </w:r>
      <w:r w:rsidR="009048B4" w:rsidRPr="00384C87">
        <w:rPr>
          <w:rFonts w:ascii="Century Gothic" w:hAnsi="Century Gothic"/>
        </w:rPr>
        <w:t xml:space="preserve">a economía chiapaneca ha mostrado un avance significativo en su crecimiento a pesar de ciertos factores </w:t>
      </w:r>
      <w:r w:rsidR="00BC6D72" w:rsidRPr="00384C87">
        <w:rPr>
          <w:rFonts w:ascii="Century Gothic" w:hAnsi="Century Gothic"/>
        </w:rPr>
        <w:t>e incertidumbre que acontece en</w:t>
      </w:r>
      <w:r w:rsidR="009048B4" w:rsidRPr="00384C87">
        <w:rPr>
          <w:rFonts w:ascii="Century Gothic" w:hAnsi="Century Gothic"/>
        </w:rPr>
        <w:t xml:space="preserve"> el panorama internacional. La entidad ha mantenido un desempeño favorable recuperándose de la pandemia y los altos costos humanos y económicos que dejo</w:t>
      </w:r>
      <w:r w:rsidR="00BC6D72" w:rsidRPr="00384C87">
        <w:rPr>
          <w:rFonts w:ascii="Century Gothic" w:hAnsi="Century Gothic"/>
        </w:rPr>
        <w:t xml:space="preserve"> esta etapa,</w:t>
      </w:r>
      <w:r w:rsidR="009048B4" w:rsidRPr="00384C87">
        <w:rPr>
          <w:rFonts w:ascii="Century Gothic" w:hAnsi="Century Gothic"/>
        </w:rPr>
        <w:t xml:space="preserve"> al pasar de una contracción </w:t>
      </w:r>
      <w:r w:rsidR="00BD6EEE" w:rsidRPr="00384C87">
        <w:rPr>
          <w:rFonts w:ascii="Century Gothic" w:hAnsi="Century Gothic"/>
        </w:rPr>
        <w:t xml:space="preserve">en 2020 </w:t>
      </w:r>
      <w:r w:rsidR="009048B4" w:rsidRPr="00384C87">
        <w:rPr>
          <w:rFonts w:ascii="Century Gothic" w:hAnsi="Century Gothic"/>
        </w:rPr>
        <w:t>de (3.0) por ciento</w:t>
      </w:r>
      <w:r w:rsidR="00BD6EEE" w:rsidRPr="00384C87">
        <w:rPr>
          <w:rFonts w:ascii="Century Gothic" w:hAnsi="Century Gothic"/>
        </w:rPr>
        <w:t>,</w:t>
      </w:r>
      <w:r w:rsidR="009048B4" w:rsidRPr="00384C87">
        <w:rPr>
          <w:rFonts w:ascii="Century Gothic" w:hAnsi="Century Gothic"/>
        </w:rPr>
        <w:t xml:space="preserve"> a</w:t>
      </w:r>
      <w:r w:rsidR="00BD6EEE" w:rsidRPr="00384C87">
        <w:rPr>
          <w:rFonts w:ascii="Century Gothic" w:hAnsi="Century Gothic"/>
        </w:rPr>
        <w:t xml:space="preserve"> </w:t>
      </w:r>
      <w:r w:rsidR="009048B4" w:rsidRPr="00384C87">
        <w:rPr>
          <w:rFonts w:ascii="Century Gothic" w:hAnsi="Century Gothic"/>
        </w:rPr>
        <w:t>4.7 y 5.7</w:t>
      </w:r>
      <w:r w:rsidR="00AA0046" w:rsidRPr="00384C87">
        <w:rPr>
          <w:rFonts w:ascii="Century Gothic" w:hAnsi="Century Gothic"/>
        </w:rPr>
        <w:t xml:space="preserve"> por ciento</w:t>
      </w:r>
      <w:r w:rsidR="00BD6EEE" w:rsidRPr="00384C87">
        <w:rPr>
          <w:rFonts w:ascii="Century Gothic" w:hAnsi="Century Gothic"/>
        </w:rPr>
        <w:t xml:space="preserve"> en 2021 y 2022</w:t>
      </w:r>
      <w:r w:rsidR="00AA0046" w:rsidRPr="00384C87">
        <w:rPr>
          <w:rFonts w:ascii="Century Gothic" w:hAnsi="Century Gothic"/>
        </w:rPr>
        <w:t xml:space="preserve"> de crecimiento real </w:t>
      </w:r>
      <w:r w:rsidR="00BD6EEE" w:rsidRPr="00384C87">
        <w:rPr>
          <w:rFonts w:ascii="Century Gothic" w:hAnsi="Century Gothic"/>
        </w:rPr>
        <w:t xml:space="preserve">respectivamente en cada año, </w:t>
      </w:r>
      <w:r w:rsidR="00AA0046" w:rsidRPr="00384C87">
        <w:rPr>
          <w:rFonts w:ascii="Century Gothic" w:hAnsi="Century Gothic"/>
        </w:rPr>
        <w:t>siendo el sector terciario quien más ha dinamizado aportando el mayor crecimiento a la economía estatal, seguido el sector secundario y en menor aportació</w:t>
      </w:r>
      <w:r w:rsidR="009A526B" w:rsidRPr="00384C87">
        <w:rPr>
          <w:rFonts w:ascii="Century Gothic" w:hAnsi="Century Gothic"/>
        </w:rPr>
        <w:t>n el primario; de acuerdo, a cifras de Cuentas Nacionales más reciente con año base 2018 cifras revisadas</w:t>
      </w:r>
      <w:r w:rsidR="00446924" w:rsidRPr="00384C87">
        <w:rPr>
          <w:rFonts w:ascii="Century Gothic" w:hAnsi="Century Gothic"/>
        </w:rPr>
        <w:t xml:space="preserve"> de INEGI,</w:t>
      </w:r>
      <w:r w:rsidR="009A526B" w:rsidRPr="00384C87">
        <w:rPr>
          <w:rFonts w:ascii="Century Gothic" w:hAnsi="Century Gothic"/>
        </w:rPr>
        <w:t xml:space="preserve"> en la última actualización de julio 2024.</w:t>
      </w:r>
    </w:p>
    <w:p w14:paraId="6FFFF901" w14:textId="77777777" w:rsidR="009A526B" w:rsidRPr="00384C87" w:rsidRDefault="009A526B" w:rsidP="009048B4">
      <w:pPr>
        <w:spacing w:line="360" w:lineRule="auto"/>
        <w:jc w:val="both"/>
        <w:rPr>
          <w:rFonts w:ascii="Century Gothic" w:hAnsi="Century Gothic"/>
        </w:rPr>
      </w:pPr>
      <w:r w:rsidRPr="00384C87">
        <w:rPr>
          <w:rFonts w:ascii="Century Gothic" w:hAnsi="Century Gothic"/>
        </w:rPr>
        <w:t xml:space="preserve">Para los años </w:t>
      </w:r>
      <w:r w:rsidR="00446924" w:rsidRPr="00384C87">
        <w:rPr>
          <w:rFonts w:ascii="Century Gothic" w:hAnsi="Century Gothic"/>
        </w:rPr>
        <w:t xml:space="preserve">siguientes 2023 y lo que se lleva de 2024 se toma con el Indicador Trimestral de la Actividad Económica Estatal (ITAEE), ya que es clave para evaluar la evolución reciente de la economía por entidad federativa. Su desglose abarca las tres principales actividades: primarias (agropecuarias), secundarias (industria) y terciarias (servicios). Lo que proporciona información oportuna y precisa para la toma de decisiones en materia económica de la entidad. Para 2023, tuvo un crecimiento anual 1.7 por ciento, siendo el sector servicio quien más aporto y en 2024 1er y 2do trimestre con 2.8 y 2.9 respectivamente para cada trimestre </w:t>
      </w:r>
      <w:r w:rsidR="00E44979" w:rsidRPr="00384C87">
        <w:rPr>
          <w:rFonts w:ascii="Century Gothic" w:hAnsi="Century Gothic"/>
        </w:rPr>
        <w:t xml:space="preserve">siendo el </w:t>
      </w:r>
      <w:r w:rsidR="00814440" w:rsidRPr="00384C87">
        <w:rPr>
          <w:rFonts w:ascii="Century Gothic" w:hAnsi="Century Gothic"/>
        </w:rPr>
        <w:t xml:space="preserve">sector </w:t>
      </w:r>
      <w:r w:rsidR="00E44979" w:rsidRPr="00384C87">
        <w:rPr>
          <w:rFonts w:ascii="Century Gothic" w:hAnsi="Century Gothic"/>
        </w:rPr>
        <w:t>de mayor crecimiento</w:t>
      </w:r>
      <w:r w:rsidR="00814440" w:rsidRPr="00384C87">
        <w:rPr>
          <w:rFonts w:ascii="Century Gothic" w:hAnsi="Century Gothic"/>
        </w:rPr>
        <w:t xml:space="preserve"> el</w:t>
      </w:r>
      <w:r w:rsidR="00E44979" w:rsidRPr="00384C87">
        <w:rPr>
          <w:rFonts w:ascii="Century Gothic" w:hAnsi="Century Gothic"/>
        </w:rPr>
        <w:t xml:space="preserve"> secundario y terciario.</w:t>
      </w:r>
    </w:p>
    <w:p w14:paraId="4A007E7E" w14:textId="77777777" w:rsidR="00EA6409" w:rsidRPr="00384C87" w:rsidRDefault="00EA6409" w:rsidP="009048B4">
      <w:pPr>
        <w:spacing w:line="360" w:lineRule="auto"/>
        <w:jc w:val="both"/>
        <w:rPr>
          <w:rFonts w:ascii="Century Gothic" w:hAnsi="Century Gothic"/>
        </w:rPr>
      </w:pPr>
      <w:r w:rsidRPr="00384C87">
        <w:rPr>
          <w:rFonts w:ascii="Century Gothic" w:hAnsi="Century Gothic"/>
        </w:rPr>
        <w:t xml:space="preserve">En cuanto al comportamiento de la inflación </w:t>
      </w:r>
      <w:r w:rsidR="00676D4C" w:rsidRPr="00384C87">
        <w:rPr>
          <w:rFonts w:ascii="Century Gothic" w:hAnsi="Century Gothic"/>
        </w:rPr>
        <w:t xml:space="preserve">general anual </w:t>
      </w:r>
      <w:r w:rsidRPr="00384C87">
        <w:rPr>
          <w:rFonts w:ascii="Century Gothic" w:hAnsi="Century Gothic"/>
        </w:rPr>
        <w:t xml:space="preserve">en Chiapas, </w:t>
      </w:r>
      <w:r w:rsidR="00D50350" w:rsidRPr="00384C87">
        <w:rPr>
          <w:rFonts w:ascii="Century Gothic" w:hAnsi="Century Gothic"/>
        </w:rPr>
        <w:t>paso de 8.7</w:t>
      </w:r>
      <w:r w:rsidR="00676D4C" w:rsidRPr="00384C87">
        <w:rPr>
          <w:rFonts w:ascii="Century Gothic" w:hAnsi="Century Gothic"/>
        </w:rPr>
        <w:t xml:space="preserve"> </w:t>
      </w:r>
      <w:r w:rsidR="00D50350" w:rsidRPr="00384C87">
        <w:rPr>
          <w:rFonts w:ascii="Century Gothic" w:hAnsi="Century Gothic"/>
        </w:rPr>
        <w:t xml:space="preserve">a 7.2 por ciento, entre 2022 y 2023 </w:t>
      </w:r>
      <w:r w:rsidR="006F4F1C" w:rsidRPr="00384C87">
        <w:rPr>
          <w:rFonts w:ascii="Century Gothic" w:hAnsi="Century Gothic"/>
        </w:rPr>
        <w:t>debido a un aumento generalizado de los bienes y servicios de la canasta básica que afecto el poder adquisitivo de las familias chiapanecas, ante el alza, por el conflicto bélico que afectaron directamente a los precios de alimentos y energéticos a nivel internacional.</w:t>
      </w:r>
    </w:p>
    <w:p w14:paraId="10018D9B" w14:textId="77777777" w:rsidR="00FB542D" w:rsidRPr="00384C87" w:rsidRDefault="006F4F1C" w:rsidP="00FB542D">
      <w:pPr>
        <w:spacing w:line="360" w:lineRule="auto"/>
        <w:jc w:val="both"/>
        <w:rPr>
          <w:rFonts w:ascii="Century Gothic" w:hAnsi="Century Gothic"/>
        </w:rPr>
      </w:pPr>
      <w:r w:rsidRPr="00384C87">
        <w:rPr>
          <w:rFonts w:ascii="Century Gothic" w:hAnsi="Century Gothic"/>
        </w:rPr>
        <w:t xml:space="preserve">Al mes de octubre 2024, la entidad </w:t>
      </w:r>
      <w:r w:rsidR="003D20A0" w:rsidRPr="00384C87">
        <w:rPr>
          <w:rFonts w:ascii="Century Gothic" w:hAnsi="Century Gothic"/>
        </w:rPr>
        <w:t>paso</w:t>
      </w:r>
      <w:r w:rsidRPr="00384C87">
        <w:rPr>
          <w:rFonts w:ascii="Century Gothic" w:hAnsi="Century Gothic"/>
        </w:rPr>
        <w:t xml:space="preserve"> </w:t>
      </w:r>
      <w:r w:rsidR="00433A47" w:rsidRPr="00384C87">
        <w:rPr>
          <w:rFonts w:ascii="Century Gothic" w:hAnsi="Century Gothic"/>
        </w:rPr>
        <w:t xml:space="preserve">de 5.90 </w:t>
      </w:r>
      <w:r w:rsidR="003D20A0" w:rsidRPr="00384C87">
        <w:rPr>
          <w:rFonts w:ascii="Century Gothic" w:hAnsi="Century Gothic"/>
        </w:rPr>
        <w:t xml:space="preserve">en septiembre </w:t>
      </w:r>
      <w:r w:rsidR="00433A47" w:rsidRPr="00384C87">
        <w:rPr>
          <w:rFonts w:ascii="Century Gothic" w:hAnsi="Century Gothic"/>
        </w:rPr>
        <w:t>a</w:t>
      </w:r>
      <w:r w:rsidR="009E3C25" w:rsidRPr="00384C87">
        <w:rPr>
          <w:rFonts w:ascii="Century Gothic" w:hAnsi="Century Gothic"/>
        </w:rPr>
        <w:t xml:space="preserve"> 5.66</w:t>
      </w:r>
      <w:r w:rsidR="003D20A0" w:rsidRPr="00384C87">
        <w:rPr>
          <w:rFonts w:ascii="Century Gothic" w:hAnsi="Century Gothic"/>
        </w:rPr>
        <w:t xml:space="preserve"> por ciento, reflejando una tendencia descendente en lo que va del año y </w:t>
      </w:r>
      <w:r w:rsidR="00F62790" w:rsidRPr="00384C87">
        <w:rPr>
          <w:rFonts w:ascii="Century Gothic" w:hAnsi="Century Gothic"/>
        </w:rPr>
        <w:t xml:space="preserve">que </w:t>
      </w:r>
      <w:r w:rsidR="003D20A0" w:rsidRPr="00384C87">
        <w:rPr>
          <w:rFonts w:ascii="Century Gothic" w:hAnsi="Century Gothic"/>
        </w:rPr>
        <w:t xml:space="preserve">comparada con el cierre del año </w:t>
      </w:r>
      <w:r w:rsidR="00F62790" w:rsidRPr="00384C87">
        <w:rPr>
          <w:rFonts w:ascii="Century Gothic" w:hAnsi="Century Gothic"/>
        </w:rPr>
        <w:t xml:space="preserve">2023 </w:t>
      </w:r>
      <w:r w:rsidR="008F04CD" w:rsidRPr="00384C87">
        <w:rPr>
          <w:rFonts w:ascii="Century Gothic" w:hAnsi="Century Gothic"/>
        </w:rPr>
        <w:t>se contrajo en 1.5</w:t>
      </w:r>
      <w:r w:rsidR="003D20A0" w:rsidRPr="00384C87">
        <w:rPr>
          <w:rFonts w:ascii="Century Gothic" w:hAnsi="Century Gothic"/>
        </w:rPr>
        <w:t xml:space="preserve"> por ciento.</w:t>
      </w:r>
      <w:r w:rsidR="00ED585C" w:rsidRPr="00384C87">
        <w:rPr>
          <w:rFonts w:ascii="Century Gothic" w:hAnsi="Century Gothic"/>
        </w:rPr>
        <w:t xml:space="preserve"> S</w:t>
      </w:r>
      <w:r w:rsidR="00FB542D" w:rsidRPr="00384C87">
        <w:rPr>
          <w:rFonts w:ascii="Century Gothic" w:hAnsi="Century Gothic"/>
        </w:rPr>
        <w:t xml:space="preserve">e espera </w:t>
      </w:r>
      <w:proofErr w:type="gramStart"/>
      <w:r w:rsidR="00FB542D" w:rsidRPr="00384C87">
        <w:rPr>
          <w:rFonts w:ascii="Century Gothic" w:hAnsi="Century Gothic"/>
        </w:rPr>
        <w:t>que</w:t>
      </w:r>
      <w:proofErr w:type="gramEnd"/>
      <w:r w:rsidR="00FB542D" w:rsidRPr="00384C87">
        <w:rPr>
          <w:rFonts w:ascii="Century Gothic" w:hAnsi="Century Gothic"/>
        </w:rPr>
        <w:t xml:space="preserve"> al cierre del 202</w:t>
      </w:r>
      <w:r w:rsidR="00ED585C" w:rsidRPr="00384C87">
        <w:rPr>
          <w:rFonts w:ascii="Century Gothic" w:hAnsi="Century Gothic"/>
        </w:rPr>
        <w:t>4</w:t>
      </w:r>
      <w:r w:rsidR="00D0332A" w:rsidRPr="00384C87">
        <w:rPr>
          <w:rFonts w:ascii="Century Gothic" w:hAnsi="Century Gothic"/>
        </w:rPr>
        <w:t>,</w:t>
      </w:r>
      <w:r w:rsidR="00FB542D" w:rsidRPr="00384C87">
        <w:rPr>
          <w:rFonts w:ascii="Century Gothic" w:hAnsi="Century Gothic"/>
        </w:rPr>
        <w:t xml:space="preserve"> se </w:t>
      </w:r>
      <w:r w:rsidR="00ED585C" w:rsidRPr="00384C87">
        <w:rPr>
          <w:rFonts w:ascii="Century Gothic" w:hAnsi="Century Gothic"/>
        </w:rPr>
        <w:t>sitúe</w:t>
      </w:r>
      <w:r w:rsidR="00FB542D" w:rsidRPr="00384C87">
        <w:rPr>
          <w:rFonts w:ascii="Century Gothic" w:hAnsi="Century Gothic"/>
        </w:rPr>
        <w:t xml:space="preserve"> en 4.</w:t>
      </w:r>
      <w:r w:rsidR="000B5C24" w:rsidRPr="00384C87">
        <w:rPr>
          <w:rFonts w:ascii="Century Gothic" w:hAnsi="Century Gothic"/>
        </w:rPr>
        <w:t>3</w:t>
      </w:r>
      <w:r w:rsidR="00FB542D" w:rsidRPr="00384C87">
        <w:rPr>
          <w:rFonts w:ascii="Century Gothic" w:hAnsi="Century Gothic"/>
        </w:rPr>
        <w:t xml:space="preserve"> por ciento, de acuerdo a lo proyectado en los CGPE 202</w:t>
      </w:r>
      <w:r w:rsidR="00ED585C" w:rsidRPr="00384C87">
        <w:rPr>
          <w:rFonts w:ascii="Century Gothic" w:hAnsi="Century Gothic"/>
        </w:rPr>
        <w:t>5</w:t>
      </w:r>
      <w:r w:rsidR="00FB542D" w:rsidRPr="00384C87">
        <w:rPr>
          <w:rFonts w:ascii="Century Gothic" w:hAnsi="Century Gothic"/>
        </w:rPr>
        <w:t>.</w:t>
      </w:r>
    </w:p>
    <w:p w14:paraId="26A22104" w14:textId="77777777" w:rsidR="00147313" w:rsidRPr="00384C87" w:rsidRDefault="00147313" w:rsidP="00147313">
      <w:pPr>
        <w:tabs>
          <w:tab w:val="left" w:pos="3720"/>
          <w:tab w:val="center" w:pos="4419"/>
        </w:tabs>
        <w:autoSpaceDE w:val="0"/>
        <w:autoSpaceDN w:val="0"/>
        <w:adjustRightInd w:val="0"/>
        <w:jc w:val="center"/>
        <w:rPr>
          <w:rFonts w:ascii="Century Gothic" w:hAnsi="Century Gothic"/>
          <w:b/>
        </w:rPr>
      </w:pPr>
      <w:r w:rsidRPr="00384C87">
        <w:rPr>
          <w:rFonts w:ascii="Century Gothic" w:hAnsi="Century Gothic"/>
          <w:b/>
        </w:rPr>
        <w:lastRenderedPageBreak/>
        <w:t>Grafica I.1.</w:t>
      </w:r>
    </w:p>
    <w:p w14:paraId="34D968A7" w14:textId="77777777" w:rsidR="00147313" w:rsidRPr="00384C87" w:rsidRDefault="00147313" w:rsidP="00147313">
      <w:pPr>
        <w:tabs>
          <w:tab w:val="left" w:pos="3720"/>
          <w:tab w:val="center" w:pos="4419"/>
        </w:tabs>
        <w:autoSpaceDE w:val="0"/>
        <w:autoSpaceDN w:val="0"/>
        <w:adjustRightInd w:val="0"/>
        <w:jc w:val="center"/>
        <w:rPr>
          <w:rFonts w:ascii="Century Gothic" w:hAnsi="Century Gothic"/>
          <w:b/>
        </w:rPr>
      </w:pPr>
      <w:r w:rsidRPr="00384C87">
        <w:rPr>
          <w:rFonts w:ascii="Century Gothic" w:hAnsi="Century Gothic"/>
          <w:b/>
        </w:rPr>
        <w:t>PIB de Chiapas</w:t>
      </w:r>
    </w:p>
    <w:p w14:paraId="13908C1D" w14:textId="77777777" w:rsidR="00147313" w:rsidRPr="00384C87" w:rsidRDefault="00147313" w:rsidP="00147313">
      <w:pPr>
        <w:tabs>
          <w:tab w:val="left" w:pos="3720"/>
          <w:tab w:val="center" w:pos="4419"/>
        </w:tabs>
        <w:autoSpaceDE w:val="0"/>
        <w:autoSpaceDN w:val="0"/>
        <w:adjustRightInd w:val="0"/>
        <w:jc w:val="center"/>
        <w:rPr>
          <w:rFonts w:ascii="Century Gothic" w:hAnsi="Century Gothic"/>
        </w:rPr>
      </w:pPr>
      <w:r w:rsidRPr="00384C87">
        <w:rPr>
          <w:rFonts w:ascii="Century Gothic" w:hAnsi="Century Gothic"/>
        </w:rPr>
        <w:t xml:space="preserve">(Porcentaje) </w:t>
      </w:r>
    </w:p>
    <w:p w14:paraId="2B5BE5EA" w14:textId="77777777" w:rsidR="00147313" w:rsidRPr="00384C87" w:rsidRDefault="00147313" w:rsidP="00147313">
      <w:pPr>
        <w:tabs>
          <w:tab w:val="left" w:pos="3720"/>
          <w:tab w:val="center" w:pos="4419"/>
        </w:tabs>
        <w:autoSpaceDE w:val="0"/>
        <w:autoSpaceDN w:val="0"/>
        <w:adjustRightInd w:val="0"/>
        <w:jc w:val="center"/>
        <w:rPr>
          <w:rFonts w:ascii="Century Gothic" w:hAnsi="Century Gothic"/>
        </w:rPr>
      </w:pPr>
      <w:r w:rsidRPr="00384C87">
        <w:rPr>
          <w:rFonts w:ascii="Century Gothic" w:hAnsi="Century Gothic"/>
          <w:noProof/>
          <w:lang w:val="en-US"/>
        </w:rPr>
        <w:drawing>
          <wp:inline distT="0" distB="0" distL="0" distR="0" wp14:anchorId="1875E8AC" wp14:editId="7E6BD537">
            <wp:extent cx="5172075" cy="3023675"/>
            <wp:effectExtent l="0" t="0" r="0" b="571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178922" cy="3027678"/>
                    </a:xfrm>
                    <a:prstGeom prst="rect">
                      <a:avLst/>
                    </a:prstGeom>
                    <a:noFill/>
                    <a:ln>
                      <a:noFill/>
                    </a:ln>
                  </pic:spPr>
                </pic:pic>
              </a:graphicData>
            </a:graphic>
          </wp:inline>
        </w:drawing>
      </w:r>
    </w:p>
    <w:p w14:paraId="7F901061" w14:textId="77777777" w:rsidR="00522686" w:rsidRPr="00384C87" w:rsidRDefault="00522686" w:rsidP="00522686">
      <w:pPr>
        <w:jc w:val="both"/>
        <w:rPr>
          <w:rFonts w:ascii="Century Gothic" w:hAnsi="Century Gothic"/>
          <w:b/>
        </w:rPr>
      </w:pPr>
      <w:r w:rsidRPr="00384C87">
        <w:rPr>
          <w:rFonts w:ascii="Century Gothic" w:hAnsi="Century Gothic"/>
          <w:b/>
        </w:rPr>
        <w:t>I.3.2 Mercado Laboral y Tasa de Desocupación</w:t>
      </w:r>
    </w:p>
    <w:p w14:paraId="54D1594A" w14:textId="77777777" w:rsidR="006E53A9" w:rsidRPr="00384C87" w:rsidRDefault="00390EF8" w:rsidP="009F592B">
      <w:pPr>
        <w:spacing w:after="240" w:line="390" w:lineRule="atLeast"/>
        <w:jc w:val="both"/>
        <w:rPr>
          <w:rFonts w:ascii="Century Gothic" w:hAnsi="Century Gothic"/>
        </w:rPr>
      </w:pPr>
      <w:r w:rsidRPr="00384C87">
        <w:rPr>
          <w:rFonts w:ascii="Century Gothic" w:hAnsi="Century Gothic"/>
        </w:rPr>
        <w:t xml:space="preserve">En cuanto al mercado laboral la entidad </w:t>
      </w:r>
      <w:r w:rsidR="0055255B" w:rsidRPr="00384C87">
        <w:rPr>
          <w:rFonts w:ascii="Century Gothic" w:hAnsi="Century Gothic"/>
        </w:rPr>
        <w:t>ha llevado a cabo una</w:t>
      </w:r>
      <w:r w:rsidRPr="00384C87">
        <w:rPr>
          <w:rFonts w:ascii="Century Gothic" w:hAnsi="Century Gothic"/>
        </w:rPr>
        <w:t xml:space="preserve"> política de inserción para facilitar </w:t>
      </w:r>
      <w:r w:rsidR="0055255B" w:rsidRPr="00384C87">
        <w:rPr>
          <w:rFonts w:ascii="Century Gothic" w:hAnsi="Century Gothic"/>
        </w:rPr>
        <w:t>los medios</w:t>
      </w:r>
      <w:r w:rsidRPr="00384C87">
        <w:rPr>
          <w:rFonts w:ascii="Century Gothic" w:hAnsi="Century Gothic"/>
        </w:rPr>
        <w:t xml:space="preserve"> a la recuperación de los empleos perdidos por la pandemia. De acuerdo a las cifras del Instituto Mexicano de Seguridad Social (IMSS), en el mes de </w:t>
      </w:r>
      <w:r w:rsidR="0055255B" w:rsidRPr="00384C87">
        <w:rPr>
          <w:rFonts w:ascii="Century Gothic" w:hAnsi="Century Gothic"/>
        </w:rPr>
        <w:t>noviembre</w:t>
      </w:r>
      <w:r w:rsidRPr="00384C87">
        <w:rPr>
          <w:rFonts w:ascii="Century Gothic" w:hAnsi="Century Gothic"/>
        </w:rPr>
        <w:t xml:space="preserve"> del año 2024 los Trabajadores Permanentes y Eventuales Urbanos (TPEU) afiliados al IMSS excluyendo a los trabajadores eventuales del campo ascendió a 2</w:t>
      </w:r>
      <w:r w:rsidR="002B58A2" w:rsidRPr="00384C87">
        <w:rPr>
          <w:rFonts w:ascii="Century Gothic" w:hAnsi="Century Gothic"/>
        </w:rPr>
        <w:t>61</w:t>
      </w:r>
      <w:r w:rsidRPr="00384C87">
        <w:rPr>
          <w:rFonts w:ascii="Century Gothic" w:hAnsi="Century Gothic"/>
        </w:rPr>
        <w:t xml:space="preserve"> mil </w:t>
      </w:r>
      <w:r w:rsidR="002B58A2" w:rsidRPr="00384C87">
        <w:rPr>
          <w:rFonts w:ascii="Century Gothic" w:hAnsi="Century Gothic"/>
        </w:rPr>
        <w:t>763</w:t>
      </w:r>
      <w:r w:rsidRPr="00384C87">
        <w:rPr>
          <w:rFonts w:ascii="Century Gothic" w:hAnsi="Century Gothic"/>
        </w:rPr>
        <w:t xml:space="preserve"> trabajadores; esto comparado con igual periodo significa un incremento de </w:t>
      </w:r>
      <w:r w:rsidR="002B58A2" w:rsidRPr="00384C87">
        <w:rPr>
          <w:rFonts w:ascii="Century Gothic" w:hAnsi="Century Gothic"/>
        </w:rPr>
        <w:t>8</w:t>
      </w:r>
      <w:r w:rsidRPr="00384C87">
        <w:rPr>
          <w:rFonts w:ascii="Century Gothic" w:hAnsi="Century Gothic"/>
        </w:rPr>
        <w:t xml:space="preserve"> mil </w:t>
      </w:r>
      <w:r w:rsidR="002B58A2" w:rsidRPr="00384C87">
        <w:rPr>
          <w:rFonts w:ascii="Century Gothic" w:hAnsi="Century Gothic"/>
        </w:rPr>
        <w:t>836</w:t>
      </w:r>
      <w:r w:rsidRPr="00384C87">
        <w:rPr>
          <w:rFonts w:ascii="Century Gothic" w:hAnsi="Century Gothic"/>
        </w:rPr>
        <w:t xml:space="preserve"> plazas, con un crecimiento anual de </w:t>
      </w:r>
      <w:r w:rsidR="002B58A2" w:rsidRPr="00384C87">
        <w:rPr>
          <w:rFonts w:ascii="Century Gothic" w:hAnsi="Century Gothic"/>
        </w:rPr>
        <w:t>3.</w:t>
      </w:r>
      <w:r w:rsidR="009F592B" w:rsidRPr="00384C87">
        <w:rPr>
          <w:rFonts w:ascii="Century Gothic" w:hAnsi="Century Gothic"/>
        </w:rPr>
        <w:t>5 por ciento.</w:t>
      </w:r>
    </w:p>
    <w:p w14:paraId="7E5B560D" w14:textId="77777777" w:rsidR="00583E70" w:rsidRPr="00384C87" w:rsidRDefault="00583E70" w:rsidP="00583E70">
      <w:pPr>
        <w:spacing w:line="360" w:lineRule="auto"/>
        <w:jc w:val="both"/>
        <w:rPr>
          <w:rFonts w:ascii="Century Gothic" w:hAnsi="Century Gothic"/>
        </w:rPr>
      </w:pPr>
      <w:r w:rsidRPr="00384C87">
        <w:rPr>
          <w:rFonts w:ascii="Century Gothic" w:hAnsi="Century Gothic"/>
        </w:rPr>
        <w:t>De enero a noviembre 2024 en promedio, en cuanto a la creación de empleos formales y eventuales tenemos que la entidad creció en promedio 99 mil 460 empleos formales y 55 mil 799 empleos eventuales; lo que demuestra que se siguen generando más fuentes de empleos formales y tempo</w:t>
      </w:r>
      <w:r w:rsidR="00051090" w:rsidRPr="00384C87">
        <w:rPr>
          <w:rFonts w:ascii="Century Gothic" w:hAnsi="Century Gothic"/>
        </w:rPr>
        <w:t>rales en la entidad.</w:t>
      </w:r>
    </w:p>
    <w:p w14:paraId="09D9928A" w14:textId="77777777" w:rsidR="00F678B2" w:rsidRDefault="00F678B2" w:rsidP="00C53A01">
      <w:pPr>
        <w:tabs>
          <w:tab w:val="left" w:pos="3720"/>
          <w:tab w:val="center" w:pos="4419"/>
        </w:tabs>
        <w:autoSpaceDE w:val="0"/>
        <w:autoSpaceDN w:val="0"/>
        <w:adjustRightInd w:val="0"/>
        <w:jc w:val="center"/>
        <w:rPr>
          <w:rFonts w:ascii="Century Gothic" w:hAnsi="Century Gothic"/>
          <w:b/>
        </w:rPr>
      </w:pPr>
    </w:p>
    <w:p w14:paraId="11013FB0" w14:textId="23F85B76" w:rsidR="00C53A01" w:rsidRPr="00384C87" w:rsidRDefault="00C53A01" w:rsidP="00C53A01">
      <w:pPr>
        <w:tabs>
          <w:tab w:val="left" w:pos="3720"/>
          <w:tab w:val="center" w:pos="4419"/>
        </w:tabs>
        <w:autoSpaceDE w:val="0"/>
        <w:autoSpaceDN w:val="0"/>
        <w:adjustRightInd w:val="0"/>
        <w:jc w:val="center"/>
        <w:rPr>
          <w:rFonts w:ascii="Century Gothic" w:hAnsi="Century Gothic"/>
          <w:b/>
        </w:rPr>
      </w:pPr>
      <w:r w:rsidRPr="00384C87">
        <w:rPr>
          <w:rFonts w:ascii="Century Gothic" w:hAnsi="Century Gothic"/>
          <w:b/>
        </w:rPr>
        <w:lastRenderedPageBreak/>
        <w:t>Gráfica I.</w:t>
      </w:r>
      <w:r w:rsidR="00147313" w:rsidRPr="00384C87">
        <w:rPr>
          <w:rFonts w:ascii="Century Gothic" w:hAnsi="Century Gothic"/>
          <w:b/>
        </w:rPr>
        <w:t xml:space="preserve"> </w:t>
      </w:r>
      <w:r w:rsidRPr="00384C87">
        <w:rPr>
          <w:rFonts w:ascii="Century Gothic" w:hAnsi="Century Gothic"/>
          <w:b/>
        </w:rPr>
        <w:t>2</w:t>
      </w:r>
    </w:p>
    <w:p w14:paraId="77F50C4A" w14:textId="77777777" w:rsidR="00C53A01" w:rsidRPr="00384C87" w:rsidRDefault="00C53A01" w:rsidP="00C53A01">
      <w:pPr>
        <w:tabs>
          <w:tab w:val="left" w:pos="3720"/>
          <w:tab w:val="center" w:pos="4419"/>
        </w:tabs>
        <w:autoSpaceDE w:val="0"/>
        <w:autoSpaceDN w:val="0"/>
        <w:adjustRightInd w:val="0"/>
        <w:jc w:val="center"/>
        <w:rPr>
          <w:rFonts w:ascii="Century Gothic" w:hAnsi="Century Gothic" w:cs="Century Gothic"/>
          <w:b/>
          <w:bCs/>
          <w:color w:val="000000"/>
        </w:rPr>
      </w:pPr>
      <w:r w:rsidRPr="00384C87">
        <w:rPr>
          <w:rFonts w:ascii="Century Gothic" w:hAnsi="Century Gothic"/>
          <w:b/>
        </w:rPr>
        <w:t>Promedio de Trabajadores Asegurados Enero-</w:t>
      </w:r>
      <w:proofErr w:type="gramStart"/>
      <w:r w:rsidR="000911D8" w:rsidRPr="00384C87">
        <w:rPr>
          <w:rFonts w:ascii="Century Gothic" w:hAnsi="Century Gothic"/>
          <w:b/>
        </w:rPr>
        <w:t>Noviembre</w:t>
      </w:r>
      <w:proofErr w:type="gramEnd"/>
      <w:r w:rsidRPr="00384C87">
        <w:rPr>
          <w:rFonts w:ascii="Century Gothic" w:hAnsi="Century Gothic"/>
          <w:b/>
        </w:rPr>
        <w:t xml:space="preserve"> al IMSS</w:t>
      </w:r>
      <w:r w:rsidRPr="00384C87">
        <w:rPr>
          <w:rFonts w:ascii="Century Gothic" w:hAnsi="Century Gothic" w:cs="Century Gothic"/>
          <w:b/>
          <w:bCs/>
          <w:color w:val="000000"/>
        </w:rPr>
        <w:t xml:space="preserve"> </w:t>
      </w:r>
    </w:p>
    <w:p w14:paraId="0EE56C6B" w14:textId="77777777" w:rsidR="00C53A01" w:rsidRPr="00384C87" w:rsidRDefault="00C53A01" w:rsidP="00C53A01">
      <w:pPr>
        <w:tabs>
          <w:tab w:val="left" w:pos="3720"/>
          <w:tab w:val="center" w:pos="4419"/>
        </w:tabs>
        <w:autoSpaceDE w:val="0"/>
        <w:autoSpaceDN w:val="0"/>
        <w:adjustRightInd w:val="0"/>
        <w:jc w:val="center"/>
        <w:rPr>
          <w:rFonts w:ascii="Century Gothic" w:hAnsi="Century Gothic"/>
        </w:rPr>
      </w:pPr>
      <w:r w:rsidRPr="00384C87">
        <w:rPr>
          <w:rFonts w:ascii="Century Gothic" w:hAnsi="Century Gothic"/>
        </w:rPr>
        <w:t>(Miles de cotizantes)</w:t>
      </w:r>
    </w:p>
    <w:p w14:paraId="127D1054" w14:textId="77777777" w:rsidR="009F592B" w:rsidRPr="00384C87" w:rsidRDefault="009F592B" w:rsidP="00C53A01">
      <w:pPr>
        <w:tabs>
          <w:tab w:val="left" w:pos="3720"/>
          <w:tab w:val="center" w:pos="4419"/>
        </w:tabs>
        <w:autoSpaceDE w:val="0"/>
        <w:autoSpaceDN w:val="0"/>
        <w:adjustRightInd w:val="0"/>
        <w:jc w:val="center"/>
        <w:rPr>
          <w:rFonts w:ascii="Century Gothic" w:hAnsi="Century Gothic" w:cs="Century Gothic"/>
          <w:bCs/>
          <w:color w:val="000000"/>
        </w:rPr>
      </w:pPr>
      <w:r w:rsidRPr="00384C87">
        <w:rPr>
          <w:rFonts w:ascii="Century Gothic" w:hAnsi="Century Gothic"/>
          <w:noProof/>
          <w:lang w:val="en-US"/>
        </w:rPr>
        <w:drawing>
          <wp:inline distT="0" distB="0" distL="0" distR="0" wp14:anchorId="09DF8ACE" wp14:editId="5FDCC2FF">
            <wp:extent cx="4181475" cy="259831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182895" cy="2599197"/>
                    </a:xfrm>
                    <a:prstGeom prst="rect">
                      <a:avLst/>
                    </a:prstGeom>
                    <a:noFill/>
                    <a:ln>
                      <a:noFill/>
                    </a:ln>
                  </pic:spPr>
                </pic:pic>
              </a:graphicData>
            </a:graphic>
          </wp:inline>
        </w:drawing>
      </w:r>
    </w:p>
    <w:p w14:paraId="62E8169E" w14:textId="77777777" w:rsidR="006E53A9" w:rsidRPr="00384C87" w:rsidRDefault="006E53A9" w:rsidP="006E53A9">
      <w:pPr>
        <w:spacing w:after="240" w:line="390" w:lineRule="atLeast"/>
        <w:jc w:val="both"/>
        <w:rPr>
          <w:rFonts w:ascii="Century Gothic" w:hAnsi="Century Gothic"/>
        </w:rPr>
      </w:pPr>
      <w:r w:rsidRPr="00384C87">
        <w:rPr>
          <w:rFonts w:ascii="Century Gothic" w:hAnsi="Century Gothic"/>
        </w:rPr>
        <w:t xml:space="preserve">En </w:t>
      </w:r>
      <w:r w:rsidR="00051090" w:rsidRPr="00384C87">
        <w:rPr>
          <w:rFonts w:ascii="Century Gothic" w:hAnsi="Century Gothic"/>
        </w:rPr>
        <w:t>materia de</w:t>
      </w:r>
      <w:r w:rsidRPr="00384C87">
        <w:rPr>
          <w:rFonts w:ascii="Century Gothic" w:hAnsi="Century Gothic"/>
        </w:rPr>
        <w:t xml:space="preserve"> tasa de desocupación, la entidad se</w:t>
      </w:r>
      <w:r w:rsidR="00D0260A" w:rsidRPr="00384C87">
        <w:rPr>
          <w:rFonts w:ascii="Century Gothic" w:hAnsi="Century Gothic"/>
        </w:rPr>
        <w:t xml:space="preserve"> ha fortalecido en mejorar nuevas oportunidades de trabajo ubicándose </w:t>
      </w:r>
      <w:r w:rsidRPr="00384C87">
        <w:rPr>
          <w:rFonts w:ascii="Century Gothic" w:hAnsi="Century Gothic"/>
        </w:rPr>
        <w:t xml:space="preserve">en 2024 </w:t>
      </w:r>
      <w:r w:rsidR="00420A56" w:rsidRPr="00384C87">
        <w:rPr>
          <w:rFonts w:ascii="Century Gothic" w:hAnsi="Century Gothic"/>
        </w:rPr>
        <w:t xml:space="preserve">en el primer y segundo trimestre </w:t>
      </w:r>
      <w:r w:rsidRPr="00384C87">
        <w:rPr>
          <w:rFonts w:ascii="Century Gothic" w:hAnsi="Century Gothic"/>
          <w:shd w:val="clear" w:color="auto" w:fill="FFFFFF" w:themeFill="background1"/>
        </w:rPr>
        <w:t xml:space="preserve">en </w:t>
      </w:r>
      <w:r w:rsidR="00420A56" w:rsidRPr="00384C87">
        <w:rPr>
          <w:rFonts w:ascii="Century Gothic" w:hAnsi="Century Gothic"/>
          <w:shd w:val="clear" w:color="auto" w:fill="FFFFFF" w:themeFill="background1"/>
        </w:rPr>
        <w:t>1.7</w:t>
      </w:r>
      <w:r w:rsidRPr="00384C87">
        <w:rPr>
          <w:rFonts w:ascii="Century Gothic" w:hAnsi="Century Gothic"/>
          <w:shd w:val="clear" w:color="auto" w:fill="FFFFFF" w:themeFill="background1"/>
        </w:rPr>
        <w:t xml:space="preserve"> </w:t>
      </w:r>
      <w:r w:rsidR="00420A56" w:rsidRPr="00384C87">
        <w:rPr>
          <w:rFonts w:ascii="Century Gothic" w:hAnsi="Century Gothic"/>
          <w:shd w:val="clear" w:color="auto" w:fill="FFFFFF" w:themeFill="background1"/>
        </w:rPr>
        <w:t xml:space="preserve">respectivamente </w:t>
      </w:r>
      <w:r w:rsidRPr="00384C87">
        <w:rPr>
          <w:rFonts w:ascii="Century Gothic" w:hAnsi="Century Gothic"/>
          <w:shd w:val="clear" w:color="auto" w:fill="FFFFFF" w:themeFill="background1"/>
        </w:rPr>
        <w:t xml:space="preserve">y </w:t>
      </w:r>
      <w:r w:rsidR="00420A56" w:rsidRPr="00384C87">
        <w:rPr>
          <w:rFonts w:ascii="Century Gothic" w:hAnsi="Century Gothic"/>
          <w:shd w:val="clear" w:color="auto" w:fill="FFFFFF" w:themeFill="background1"/>
        </w:rPr>
        <w:t>en el tercer trimestre 1.9</w:t>
      </w:r>
      <w:r w:rsidRPr="00384C87">
        <w:rPr>
          <w:rFonts w:ascii="Century Gothic" w:hAnsi="Century Gothic"/>
          <w:shd w:val="clear" w:color="auto" w:fill="FFFFFF" w:themeFill="background1"/>
        </w:rPr>
        <w:t xml:space="preserve"> por ciento,</w:t>
      </w:r>
      <w:r w:rsidRPr="00384C87">
        <w:rPr>
          <w:rFonts w:ascii="Century Gothic" w:hAnsi="Century Gothic"/>
        </w:rPr>
        <w:t xml:space="preserve"> </w:t>
      </w:r>
      <w:proofErr w:type="gramStart"/>
      <w:r w:rsidR="00D0260A" w:rsidRPr="00384C87">
        <w:rPr>
          <w:rFonts w:ascii="Century Gothic" w:hAnsi="Century Gothic"/>
        </w:rPr>
        <w:t xml:space="preserve">contrayéndose </w:t>
      </w:r>
      <w:r w:rsidRPr="00384C87">
        <w:rPr>
          <w:rFonts w:ascii="Century Gothic" w:hAnsi="Century Gothic"/>
        </w:rPr>
        <w:t xml:space="preserve"> </w:t>
      </w:r>
      <w:r w:rsidR="00D0260A" w:rsidRPr="00384C87">
        <w:rPr>
          <w:rFonts w:ascii="Century Gothic" w:hAnsi="Century Gothic"/>
        </w:rPr>
        <w:t>(</w:t>
      </w:r>
      <w:proofErr w:type="gramEnd"/>
      <w:r w:rsidR="00D0260A" w:rsidRPr="00384C87">
        <w:rPr>
          <w:rFonts w:ascii="Century Gothic" w:hAnsi="Century Gothic"/>
        </w:rPr>
        <w:t xml:space="preserve">0.8), (0.2) y (06) </w:t>
      </w:r>
      <w:r w:rsidRPr="00384C87">
        <w:rPr>
          <w:rFonts w:ascii="Century Gothic" w:hAnsi="Century Gothic"/>
        </w:rPr>
        <w:t>por ciento, con respecto al mismo periodo de año anterior.</w:t>
      </w:r>
    </w:p>
    <w:p w14:paraId="7CB89CC3" w14:textId="77777777" w:rsidR="00522686" w:rsidRPr="00384C87" w:rsidRDefault="00522686" w:rsidP="00522686">
      <w:pPr>
        <w:jc w:val="both"/>
        <w:rPr>
          <w:rFonts w:ascii="Century Gothic" w:hAnsi="Century Gothic"/>
          <w:b/>
        </w:rPr>
      </w:pPr>
      <w:r w:rsidRPr="00384C87">
        <w:rPr>
          <w:rFonts w:ascii="Century Gothic" w:hAnsi="Century Gothic"/>
          <w:b/>
        </w:rPr>
        <w:t>I.3.</w:t>
      </w:r>
      <w:r w:rsidR="0007241F" w:rsidRPr="00384C87">
        <w:rPr>
          <w:rFonts w:ascii="Century Gothic" w:hAnsi="Century Gothic"/>
          <w:b/>
        </w:rPr>
        <w:t>3</w:t>
      </w:r>
      <w:r w:rsidRPr="00384C87">
        <w:rPr>
          <w:rFonts w:ascii="Century Gothic" w:hAnsi="Century Gothic"/>
          <w:b/>
        </w:rPr>
        <w:t xml:space="preserve"> Captación de Remesas</w:t>
      </w:r>
    </w:p>
    <w:p w14:paraId="5162DE39" w14:textId="77777777" w:rsidR="002E7165" w:rsidRPr="00384C87" w:rsidRDefault="00D27F3E" w:rsidP="002D48EF">
      <w:pPr>
        <w:spacing w:after="240" w:line="390" w:lineRule="atLeast"/>
        <w:jc w:val="both"/>
        <w:rPr>
          <w:rFonts w:ascii="Century Gothic" w:hAnsi="Century Gothic"/>
        </w:rPr>
      </w:pPr>
      <w:r w:rsidRPr="00384C87">
        <w:rPr>
          <w:rFonts w:ascii="Century Gothic" w:hAnsi="Century Gothic"/>
        </w:rPr>
        <w:t xml:space="preserve">Las transferencias por concepto de remesa y su capacidad para actuar como palanca del desarrollo económico en la entidad chiapaneca, </w:t>
      </w:r>
      <w:r w:rsidR="00410DBC" w:rsidRPr="00384C87">
        <w:rPr>
          <w:rFonts w:ascii="Century Gothic" w:hAnsi="Century Gothic"/>
        </w:rPr>
        <w:t xml:space="preserve">constituyen una fuente de recursos que cubren la mayor parte del gasto en: consumo, vivienda, educación y gastos médicos; entre otros </w:t>
      </w:r>
      <w:proofErr w:type="gramStart"/>
      <w:r w:rsidR="00410DBC" w:rsidRPr="00384C87">
        <w:rPr>
          <w:rFonts w:ascii="Century Gothic" w:hAnsi="Century Gothic"/>
        </w:rPr>
        <w:t>rubros,  de</w:t>
      </w:r>
      <w:proofErr w:type="gramEnd"/>
      <w:r w:rsidR="00410DBC" w:rsidRPr="00384C87">
        <w:rPr>
          <w:rFonts w:ascii="Century Gothic" w:hAnsi="Century Gothic"/>
        </w:rPr>
        <w:t xml:space="preserve"> las familias chiapanecas, que reciben del extranjero dicho ingreso</w:t>
      </w:r>
      <w:r w:rsidR="00475B4A" w:rsidRPr="00384C87">
        <w:rPr>
          <w:rFonts w:ascii="Century Gothic" w:hAnsi="Century Gothic"/>
        </w:rPr>
        <w:t>,</w:t>
      </w:r>
      <w:r w:rsidR="00410DBC" w:rsidRPr="00384C87">
        <w:rPr>
          <w:rFonts w:ascii="Century Gothic" w:hAnsi="Century Gothic"/>
        </w:rPr>
        <w:t xml:space="preserve"> dinamizando así la actividad económica del </w:t>
      </w:r>
      <w:r w:rsidR="00475B4A" w:rsidRPr="00384C87">
        <w:rPr>
          <w:rFonts w:ascii="Century Gothic" w:hAnsi="Century Gothic"/>
        </w:rPr>
        <w:t>E</w:t>
      </w:r>
      <w:r w:rsidR="00410DBC" w:rsidRPr="00384C87">
        <w:rPr>
          <w:rFonts w:ascii="Century Gothic" w:hAnsi="Century Gothic"/>
        </w:rPr>
        <w:t>stado. Sin embargo, no sustituyen la responsabilidad del Estado y la acción del mercado en la promoción del desarrollo económico y el bienestar de la población para generar nuevos empleos</w:t>
      </w:r>
      <w:r w:rsidR="002E7165" w:rsidRPr="00384C87">
        <w:rPr>
          <w:rFonts w:ascii="Century Gothic" w:hAnsi="Century Gothic"/>
        </w:rPr>
        <w:t>.</w:t>
      </w:r>
    </w:p>
    <w:p w14:paraId="58F4146F" w14:textId="4DC71E43" w:rsidR="005D3605" w:rsidRPr="00384C87" w:rsidRDefault="00B16EBC" w:rsidP="002D48EF">
      <w:pPr>
        <w:spacing w:after="240" w:line="390" w:lineRule="atLeast"/>
        <w:jc w:val="both"/>
        <w:rPr>
          <w:rFonts w:ascii="Century Gothic" w:hAnsi="Century Gothic"/>
        </w:rPr>
      </w:pPr>
      <w:r w:rsidRPr="00384C87">
        <w:rPr>
          <w:rFonts w:ascii="Century Gothic" w:hAnsi="Century Gothic"/>
        </w:rPr>
        <w:lastRenderedPageBreak/>
        <w:t xml:space="preserve">La entidad chiapaneca, ha mostrado en los años recientes crecimiento por dichos ingresos a pesar </w:t>
      </w:r>
      <w:r w:rsidR="00F678B2">
        <w:rPr>
          <w:rFonts w:ascii="Century Gothic" w:hAnsi="Century Gothic"/>
        </w:rPr>
        <w:t xml:space="preserve">de </w:t>
      </w:r>
      <w:r w:rsidRPr="00384C87">
        <w:rPr>
          <w:rFonts w:ascii="Century Gothic" w:hAnsi="Century Gothic"/>
        </w:rPr>
        <w:t>que ha mantenido políticas migratorias restrictivas del país vecino</w:t>
      </w:r>
      <w:r w:rsidR="00AC6840" w:rsidRPr="00384C87">
        <w:rPr>
          <w:rFonts w:ascii="Century Gothic" w:hAnsi="Century Gothic"/>
        </w:rPr>
        <w:t>. Los años de mayor crecimiento de dicho recurso, se encontró en el 2021y 2022 con tasas de 64 y 65 por ciento y en lo que va del acumulado de enero a septiembre 2024, comparado con igual trimestre del año anterior mantuvo una contracción de (4.7)</w:t>
      </w:r>
      <w:r w:rsidR="005D3605" w:rsidRPr="00384C87">
        <w:rPr>
          <w:rFonts w:ascii="Century Gothic" w:hAnsi="Century Gothic"/>
        </w:rPr>
        <w:t xml:space="preserve"> por ciento, ocupando el sexto lugar por entidad federativa.</w:t>
      </w:r>
    </w:p>
    <w:p w14:paraId="26C0DD76" w14:textId="77777777" w:rsidR="002D48EF" w:rsidRPr="00384C87" w:rsidRDefault="002D48EF" w:rsidP="002D48EF">
      <w:pPr>
        <w:tabs>
          <w:tab w:val="left" w:pos="3720"/>
          <w:tab w:val="center" w:pos="4419"/>
        </w:tabs>
        <w:autoSpaceDE w:val="0"/>
        <w:autoSpaceDN w:val="0"/>
        <w:adjustRightInd w:val="0"/>
        <w:spacing w:after="0"/>
        <w:jc w:val="center"/>
        <w:rPr>
          <w:rFonts w:ascii="Century Gothic" w:hAnsi="Century Gothic" w:cs="Century Gothic"/>
          <w:b/>
          <w:bCs/>
          <w:color w:val="000000"/>
        </w:rPr>
      </w:pPr>
      <w:r w:rsidRPr="00384C87">
        <w:rPr>
          <w:rFonts w:ascii="Century Gothic" w:hAnsi="Century Gothic" w:cs="Century Gothic"/>
          <w:b/>
          <w:bCs/>
          <w:color w:val="000000"/>
        </w:rPr>
        <w:t>Gráfica I.</w:t>
      </w:r>
      <w:r w:rsidR="0007241F" w:rsidRPr="00384C87">
        <w:rPr>
          <w:rFonts w:ascii="Century Gothic" w:hAnsi="Century Gothic" w:cs="Century Gothic"/>
          <w:b/>
          <w:bCs/>
          <w:color w:val="000000"/>
        </w:rPr>
        <w:t>3</w:t>
      </w:r>
      <w:r w:rsidRPr="00384C87">
        <w:rPr>
          <w:rFonts w:ascii="Century Gothic" w:hAnsi="Century Gothic" w:cs="Century Gothic"/>
          <w:b/>
          <w:bCs/>
          <w:color w:val="000000"/>
        </w:rPr>
        <w:t xml:space="preserve">. </w:t>
      </w:r>
      <w:r w:rsidR="0007241F" w:rsidRPr="00384C87">
        <w:rPr>
          <w:rFonts w:ascii="Century Gothic" w:hAnsi="Century Gothic" w:cs="Century Gothic"/>
          <w:b/>
          <w:bCs/>
          <w:color w:val="000000"/>
        </w:rPr>
        <w:t>3</w:t>
      </w:r>
    </w:p>
    <w:p w14:paraId="4FFCCA5D" w14:textId="77777777" w:rsidR="002D48EF" w:rsidRPr="00384C87" w:rsidRDefault="002D48EF" w:rsidP="002D48EF">
      <w:pPr>
        <w:tabs>
          <w:tab w:val="left" w:pos="3720"/>
          <w:tab w:val="center" w:pos="4419"/>
        </w:tabs>
        <w:autoSpaceDE w:val="0"/>
        <w:autoSpaceDN w:val="0"/>
        <w:adjustRightInd w:val="0"/>
        <w:spacing w:after="0"/>
        <w:jc w:val="center"/>
        <w:rPr>
          <w:rFonts w:ascii="Century Gothic" w:hAnsi="Century Gothic" w:cs="Century Gothic"/>
          <w:b/>
          <w:bCs/>
          <w:color w:val="000000"/>
        </w:rPr>
      </w:pPr>
      <w:r w:rsidRPr="00384C87">
        <w:rPr>
          <w:rFonts w:ascii="Century Gothic" w:hAnsi="Century Gothic" w:cs="Century Gothic"/>
          <w:b/>
          <w:bCs/>
          <w:color w:val="000000"/>
        </w:rPr>
        <w:t xml:space="preserve">Remesas </w:t>
      </w:r>
    </w:p>
    <w:p w14:paraId="2FEC2B1A" w14:textId="77777777" w:rsidR="002D48EF" w:rsidRPr="00384C87" w:rsidRDefault="002D48EF" w:rsidP="002D48EF">
      <w:pPr>
        <w:tabs>
          <w:tab w:val="left" w:pos="3720"/>
          <w:tab w:val="center" w:pos="4419"/>
        </w:tabs>
        <w:autoSpaceDE w:val="0"/>
        <w:autoSpaceDN w:val="0"/>
        <w:adjustRightInd w:val="0"/>
        <w:spacing w:after="0"/>
        <w:jc w:val="center"/>
        <w:rPr>
          <w:rFonts w:ascii="Century Gothic" w:hAnsi="Century Gothic" w:cs="Century Gothic"/>
          <w:bCs/>
          <w:color w:val="000000"/>
        </w:rPr>
      </w:pPr>
      <w:r w:rsidRPr="00384C87">
        <w:rPr>
          <w:rFonts w:ascii="Century Gothic" w:hAnsi="Century Gothic" w:cs="Century Gothic"/>
          <w:bCs/>
          <w:color w:val="000000"/>
        </w:rPr>
        <w:t>(Millones de dólares)</w:t>
      </w:r>
    </w:p>
    <w:p w14:paraId="123E4BB5" w14:textId="77777777" w:rsidR="00F85187" w:rsidRPr="00384C87" w:rsidRDefault="00F85187" w:rsidP="00F85187">
      <w:pPr>
        <w:jc w:val="center"/>
        <w:rPr>
          <w:rFonts w:ascii="Century Gothic" w:hAnsi="Century Gothic"/>
          <w:b/>
          <w:highlight w:val="yellow"/>
        </w:rPr>
      </w:pPr>
      <w:r w:rsidRPr="00384C87">
        <w:rPr>
          <w:rFonts w:ascii="Century Gothic" w:hAnsi="Century Gothic"/>
          <w:noProof/>
          <w:lang w:val="en-US"/>
        </w:rPr>
        <w:drawing>
          <wp:inline distT="0" distB="0" distL="0" distR="0" wp14:anchorId="33319963" wp14:editId="10D64242">
            <wp:extent cx="4238625" cy="2125601"/>
            <wp:effectExtent l="0" t="0" r="0" b="825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245439" cy="2129018"/>
                    </a:xfrm>
                    <a:prstGeom prst="rect">
                      <a:avLst/>
                    </a:prstGeom>
                    <a:noFill/>
                    <a:ln>
                      <a:noFill/>
                    </a:ln>
                  </pic:spPr>
                </pic:pic>
              </a:graphicData>
            </a:graphic>
          </wp:inline>
        </w:drawing>
      </w:r>
    </w:p>
    <w:p w14:paraId="7AEB0843" w14:textId="77777777" w:rsidR="00522686" w:rsidRPr="00384C87" w:rsidRDefault="00522686" w:rsidP="00522686">
      <w:pPr>
        <w:jc w:val="both"/>
        <w:rPr>
          <w:rFonts w:ascii="Century Gothic" w:hAnsi="Century Gothic"/>
          <w:b/>
        </w:rPr>
      </w:pPr>
      <w:r w:rsidRPr="00384C87">
        <w:rPr>
          <w:rFonts w:ascii="Century Gothic" w:hAnsi="Century Gothic"/>
          <w:b/>
        </w:rPr>
        <w:t>I.5. Expectativas Económicas para Chiapas en 202</w:t>
      </w:r>
      <w:r w:rsidR="00DB7E63" w:rsidRPr="00384C87">
        <w:rPr>
          <w:rFonts w:ascii="Century Gothic" w:hAnsi="Century Gothic"/>
          <w:b/>
        </w:rPr>
        <w:t>5</w:t>
      </w:r>
    </w:p>
    <w:p w14:paraId="25A8E44F" w14:textId="77777777" w:rsidR="00C3240C" w:rsidRPr="00384C87" w:rsidRDefault="00C3240C" w:rsidP="00C3240C">
      <w:pPr>
        <w:spacing w:line="360" w:lineRule="auto"/>
        <w:jc w:val="both"/>
        <w:rPr>
          <w:rFonts w:ascii="Century Gothic" w:hAnsi="Century Gothic"/>
        </w:rPr>
      </w:pPr>
      <w:r w:rsidRPr="00384C87">
        <w:rPr>
          <w:rFonts w:ascii="Century Gothic" w:hAnsi="Century Gothic"/>
        </w:rPr>
        <w:t xml:space="preserve">Escenario estimado de las principales variables macroeconómicas para 2025, se resumen a continuación: </w:t>
      </w:r>
    </w:p>
    <w:p w14:paraId="5B4B68D0" w14:textId="77777777" w:rsidR="00C3240C" w:rsidRPr="00384C87" w:rsidRDefault="00475B4A" w:rsidP="006F7FA3">
      <w:pPr>
        <w:pStyle w:val="Prrafodelista"/>
        <w:numPr>
          <w:ilvl w:val="0"/>
          <w:numId w:val="3"/>
        </w:numPr>
        <w:jc w:val="both"/>
        <w:rPr>
          <w:rFonts w:ascii="Century Gothic" w:hAnsi="Century Gothic"/>
        </w:rPr>
      </w:pPr>
      <w:r w:rsidRPr="00384C87">
        <w:rPr>
          <w:rFonts w:ascii="Century Gothic" w:hAnsi="Century Gothic"/>
        </w:rPr>
        <w:t>El</w:t>
      </w:r>
      <w:r w:rsidR="006F7FA3" w:rsidRPr="00384C87">
        <w:rPr>
          <w:rFonts w:ascii="Century Gothic" w:hAnsi="Century Gothic"/>
        </w:rPr>
        <w:t xml:space="preserve"> crecimiento del PIB estatal se sitúe en 2.5 por ciento, en línea a la economía nacional en los CGPE 2025.</w:t>
      </w:r>
    </w:p>
    <w:p w14:paraId="7700E3A7" w14:textId="77777777" w:rsidR="00C27DEE" w:rsidRPr="00384C87" w:rsidRDefault="00C27DEE" w:rsidP="00C27DEE">
      <w:pPr>
        <w:pStyle w:val="Prrafodelista"/>
        <w:jc w:val="both"/>
        <w:rPr>
          <w:rFonts w:ascii="Century Gothic" w:hAnsi="Century Gothic"/>
        </w:rPr>
      </w:pPr>
    </w:p>
    <w:p w14:paraId="782A73AD" w14:textId="77777777" w:rsidR="00ED585C" w:rsidRPr="00384C87" w:rsidRDefault="00993E85" w:rsidP="006F7FA3">
      <w:pPr>
        <w:pStyle w:val="Prrafodelista"/>
        <w:numPr>
          <w:ilvl w:val="0"/>
          <w:numId w:val="3"/>
        </w:numPr>
        <w:spacing w:line="360" w:lineRule="auto"/>
        <w:jc w:val="both"/>
        <w:rPr>
          <w:rFonts w:ascii="Century Gothic" w:hAnsi="Century Gothic"/>
        </w:rPr>
      </w:pPr>
      <w:r w:rsidRPr="00384C87">
        <w:rPr>
          <w:rFonts w:ascii="Century Gothic" w:hAnsi="Century Gothic"/>
        </w:rPr>
        <w:t>Se</w:t>
      </w:r>
      <w:r w:rsidR="00ED585C" w:rsidRPr="00384C87">
        <w:rPr>
          <w:rFonts w:ascii="Century Gothic" w:hAnsi="Century Gothic"/>
        </w:rPr>
        <w:t xml:space="preserve"> espera </w:t>
      </w:r>
      <w:r w:rsidRPr="00384C87">
        <w:rPr>
          <w:rFonts w:ascii="Century Gothic" w:hAnsi="Century Gothic"/>
        </w:rPr>
        <w:t>una tasa de inflación para el</w:t>
      </w:r>
      <w:r w:rsidR="00ED585C" w:rsidRPr="00384C87">
        <w:rPr>
          <w:rFonts w:ascii="Century Gothic" w:hAnsi="Century Gothic"/>
        </w:rPr>
        <w:t xml:space="preserve"> 202</w:t>
      </w:r>
      <w:r w:rsidRPr="00384C87">
        <w:rPr>
          <w:rFonts w:ascii="Century Gothic" w:hAnsi="Century Gothic"/>
        </w:rPr>
        <w:t>5,</w:t>
      </w:r>
      <w:r w:rsidR="00ED585C" w:rsidRPr="00384C87">
        <w:rPr>
          <w:rFonts w:ascii="Century Gothic" w:hAnsi="Century Gothic"/>
        </w:rPr>
        <w:t xml:space="preserve"> se ubique en </w:t>
      </w:r>
      <w:r w:rsidRPr="00384C87">
        <w:rPr>
          <w:rFonts w:ascii="Century Gothic" w:hAnsi="Century Gothic"/>
        </w:rPr>
        <w:t>3</w:t>
      </w:r>
      <w:r w:rsidR="00ED585C" w:rsidRPr="00384C87">
        <w:rPr>
          <w:rFonts w:ascii="Century Gothic" w:hAnsi="Century Gothic"/>
        </w:rPr>
        <w:t xml:space="preserve">.5 por ciento, de acuerdo a lo proyectado </w:t>
      </w:r>
      <w:r w:rsidR="006F7FA3" w:rsidRPr="00384C87">
        <w:rPr>
          <w:rFonts w:ascii="Century Gothic" w:hAnsi="Century Gothic"/>
        </w:rPr>
        <w:t xml:space="preserve">a nivel nacional </w:t>
      </w:r>
      <w:r w:rsidR="00ED585C" w:rsidRPr="00384C87">
        <w:rPr>
          <w:rFonts w:ascii="Century Gothic" w:hAnsi="Century Gothic"/>
        </w:rPr>
        <w:t>en los CGPE 202</w:t>
      </w:r>
      <w:r w:rsidRPr="00384C87">
        <w:rPr>
          <w:rFonts w:ascii="Century Gothic" w:hAnsi="Century Gothic"/>
        </w:rPr>
        <w:t>5</w:t>
      </w:r>
      <w:r w:rsidR="00ED585C" w:rsidRPr="00384C87">
        <w:rPr>
          <w:rFonts w:ascii="Century Gothic" w:hAnsi="Century Gothic"/>
        </w:rPr>
        <w:t>.</w:t>
      </w:r>
    </w:p>
    <w:p w14:paraId="0FA4B75A" w14:textId="77777777" w:rsidR="00C27DEE" w:rsidRPr="00384C87" w:rsidRDefault="00C27DEE" w:rsidP="00C27DEE">
      <w:pPr>
        <w:pStyle w:val="Prrafodelista"/>
        <w:rPr>
          <w:rFonts w:ascii="Century Gothic" w:hAnsi="Century Gothic"/>
        </w:rPr>
      </w:pPr>
    </w:p>
    <w:p w14:paraId="3D1AA2C8" w14:textId="77777777" w:rsidR="00C27DEE" w:rsidRPr="00384C87" w:rsidRDefault="00C27DEE" w:rsidP="006F7FA3">
      <w:pPr>
        <w:pStyle w:val="Prrafodelista"/>
        <w:numPr>
          <w:ilvl w:val="0"/>
          <w:numId w:val="3"/>
        </w:numPr>
        <w:spacing w:line="360" w:lineRule="auto"/>
        <w:jc w:val="both"/>
        <w:rPr>
          <w:rFonts w:ascii="Century Gothic" w:hAnsi="Century Gothic"/>
        </w:rPr>
      </w:pPr>
      <w:r w:rsidRPr="00384C87">
        <w:rPr>
          <w:rFonts w:ascii="Century Gothic" w:hAnsi="Century Gothic"/>
        </w:rPr>
        <w:t xml:space="preserve">En materia de empleo se espera </w:t>
      </w:r>
      <w:r w:rsidR="00847AB6" w:rsidRPr="00384C87">
        <w:rPr>
          <w:rFonts w:ascii="Century Gothic" w:hAnsi="Century Gothic"/>
        </w:rPr>
        <w:t>con las nuevas políticas generar empleo a</w:t>
      </w:r>
      <w:r w:rsidRPr="00384C87">
        <w:rPr>
          <w:rFonts w:ascii="Century Gothic" w:hAnsi="Century Gothic"/>
        </w:rPr>
        <w:t xml:space="preserve"> dicho sector.</w:t>
      </w:r>
    </w:p>
    <w:p w14:paraId="41E39724" w14:textId="77777777" w:rsidR="001D6303" w:rsidRPr="00384C87" w:rsidRDefault="002E7165" w:rsidP="006F7FA3">
      <w:pPr>
        <w:pStyle w:val="Prrafodelista"/>
        <w:numPr>
          <w:ilvl w:val="0"/>
          <w:numId w:val="3"/>
        </w:numPr>
        <w:spacing w:line="360" w:lineRule="auto"/>
        <w:jc w:val="both"/>
        <w:rPr>
          <w:rFonts w:ascii="Century Gothic" w:hAnsi="Century Gothic"/>
        </w:rPr>
      </w:pPr>
      <w:r w:rsidRPr="00384C87">
        <w:rPr>
          <w:rFonts w:ascii="Century Gothic" w:hAnsi="Century Gothic"/>
        </w:rPr>
        <w:lastRenderedPageBreak/>
        <w:t xml:space="preserve">Debido a las recientes políticas restrictivas del gobierno de Estados Unidos, en materia migratoria </w:t>
      </w:r>
      <w:r w:rsidR="009F2C8D" w:rsidRPr="00384C87">
        <w:rPr>
          <w:rFonts w:ascii="Century Gothic" w:hAnsi="Century Gothic"/>
        </w:rPr>
        <w:t>se prevé que puede verse moderado</w:t>
      </w:r>
      <w:r w:rsidRPr="00384C87">
        <w:rPr>
          <w:rFonts w:ascii="Century Gothic" w:hAnsi="Century Gothic"/>
        </w:rPr>
        <w:t xml:space="preserve"> el envío de remesas en la entidad.</w:t>
      </w:r>
    </w:p>
    <w:p w14:paraId="532A1AAA" w14:textId="77777777" w:rsidR="00AD7B39" w:rsidRPr="00384C87" w:rsidRDefault="00857D37" w:rsidP="00AD7B39">
      <w:pPr>
        <w:pStyle w:val="Prrafodelista"/>
        <w:numPr>
          <w:ilvl w:val="0"/>
          <w:numId w:val="3"/>
        </w:numPr>
        <w:spacing w:line="360" w:lineRule="auto"/>
        <w:jc w:val="both"/>
        <w:rPr>
          <w:rFonts w:ascii="Century Gothic" w:hAnsi="Century Gothic"/>
        </w:rPr>
      </w:pPr>
      <w:r w:rsidRPr="00384C87">
        <w:rPr>
          <w:rFonts w:ascii="Century Gothic" w:hAnsi="Century Gothic"/>
        </w:rPr>
        <w:t>Promover</w:t>
      </w:r>
      <w:r w:rsidR="00475B4A" w:rsidRPr="00384C87">
        <w:rPr>
          <w:rFonts w:ascii="Century Gothic" w:hAnsi="Century Gothic"/>
        </w:rPr>
        <w:t xml:space="preserve"> medidas de austeridad y </w:t>
      </w:r>
      <w:r w:rsidR="00AD7B39" w:rsidRPr="00384C87">
        <w:rPr>
          <w:rFonts w:ascii="Century Gothic" w:hAnsi="Century Gothic"/>
        </w:rPr>
        <w:t xml:space="preserve">disciplina presupuestaria para </w:t>
      </w:r>
      <w:r w:rsidR="00475B4A" w:rsidRPr="00384C87">
        <w:rPr>
          <w:rFonts w:ascii="Century Gothic" w:hAnsi="Century Gothic"/>
        </w:rPr>
        <w:t>optimizar</w:t>
      </w:r>
      <w:r w:rsidR="00E6738E" w:rsidRPr="00384C87">
        <w:rPr>
          <w:rFonts w:ascii="Century Gothic" w:hAnsi="Century Gothic"/>
        </w:rPr>
        <w:t xml:space="preserve"> el gasto público </w:t>
      </w:r>
      <w:r w:rsidRPr="00384C87">
        <w:rPr>
          <w:rFonts w:ascii="Century Gothic" w:hAnsi="Century Gothic"/>
        </w:rPr>
        <w:t xml:space="preserve">corriente </w:t>
      </w:r>
      <w:r w:rsidR="00E6738E" w:rsidRPr="00384C87">
        <w:rPr>
          <w:rFonts w:ascii="Century Gothic" w:hAnsi="Century Gothic"/>
        </w:rPr>
        <w:t xml:space="preserve">y </w:t>
      </w:r>
      <w:r w:rsidRPr="00384C87">
        <w:rPr>
          <w:rFonts w:ascii="Century Gothic" w:hAnsi="Century Gothic"/>
        </w:rPr>
        <w:t xml:space="preserve">fortalecer el gasto en </w:t>
      </w:r>
      <w:r w:rsidR="00E6738E" w:rsidRPr="00384C87">
        <w:rPr>
          <w:rFonts w:ascii="Century Gothic" w:hAnsi="Century Gothic"/>
        </w:rPr>
        <w:t>obras e infraestructura</w:t>
      </w:r>
      <w:r w:rsidR="00B814CE" w:rsidRPr="00384C87">
        <w:rPr>
          <w:rFonts w:ascii="Century Gothic" w:hAnsi="Century Gothic"/>
        </w:rPr>
        <w:t xml:space="preserve"> que impulsen la actividad económica</w:t>
      </w:r>
      <w:r w:rsidRPr="00384C87">
        <w:rPr>
          <w:rFonts w:ascii="Century Gothic" w:hAnsi="Century Gothic"/>
        </w:rPr>
        <w:t xml:space="preserve"> del Estado</w:t>
      </w:r>
      <w:r w:rsidR="00E6738E" w:rsidRPr="00384C87">
        <w:rPr>
          <w:rFonts w:ascii="Century Gothic" w:hAnsi="Century Gothic"/>
        </w:rPr>
        <w:t>.</w:t>
      </w:r>
    </w:p>
    <w:p w14:paraId="114DDCC1" w14:textId="77777777" w:rsidR="00AD7B39" w:rsidRPr="00384C87" w:rsidRDefault="00AD7B39" w:rsidP="003E4D8C">
      <w:pPr>
        <w:pStyle w:val="Prrafodelista"/>
        <w:spacing w:line="360" w:lineRule="auto"/>
        <w:jc w:val="both"/>
        <w:rPr>
          <w:rFonts w:ascii="Century Gothic" w:hAnsi="Century Gothic"/>
        </w:rPr>
      </w:pPr>
    </w:p>
    <w:p w14:paraId="731A884A" w14:textId="77777777" w:rsidR="00522686" w:rsidRPr="00384C87" w:rsidRDefault="00522686">
      <w:pPr>
        <w:jc w:val="both"/>
        <w:rPr>
          <w:rFonts w:ascii="Century Gothic" w:hAnsi="Century Gothic"/>
        </w:rPr>
      </w:pPr>
    </w:p>
    <w:sectPr w:rsidR="00522686" w:rsidRPr="00384C87">
      <w:headerReference w:type="default" r:id="rId17"/>
      <w:footerReference w:type="default" r:id="rId18"/>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37B4EC3" w14:textId="77777777" w:rsidR="00384C87" w:rsidRDefault="00384C87" w:rsidP="00384C87">
      <w:pPr>
        <w:spacing w:after="0" w:line="240" w:lineRule="auto"/>
      </w:pPr>
      <w:r>
        <w:separator/>
      </w:r>
    </w:p>
  </w:endnote>
  <w:endnote w:type="continuationSeparator" w:id="0">
    <w:p w14:paraId="00AF53CC" w14:textId="77777777" w:rsidR="00384C87" w:rsidRDefault="00384C87" w:rsidP="00384C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w:panose1 w:val="02070409020205020404"/>
    <w:charset w:val="00"/>
    <w:family w:val="modern"/>
    <w:notTrueType/>
    <w:pitch w:val="fixed"/>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CD462A" w14:textId="77777777" w:rsidR="00384C87" w:rsidRDefault="00B85625">
    <w:pPr>
      <w:pStyle w:val="Piedepgina"/>
      <w:jc w:val="right"/>
    </w:pPr>
    <w:r>
      <w:rPr>
        <w:noProof/>
        <w:lang w:val="en-US"/>
      </w:rPr>
      <mc:AlternateContent>
        <mc:Choice Requires="wps">
          <w:drawing>
            <wp:anchor distT="0" distB="0" distL="114300" distR="114300" simplePos="0" relativeHeight="251659264" behindDoc="0" locked="0" layoutInCell="1" allowOverlap="1" wp14:anchorId="7C9A4B0A" wp14:editId="463DAF7A">
              <wp:simplePos x="0" y="0"/>
              <wp:positionH relativeFrom="column">
                <wp:posOffset>-270510</wp:posOffset>
              </wp:positionH>
              <wp:positionV relativeFrom="paragraph">
                <wp:posOffset>46990</wp:posOffset>
              </wp:positionV>
              <wp:extent cx="5972175" cy="0"/>
              <wp:effectExtent l="57150" t="38100" r="47625" b="95250"/>
              <wp:wrapNone/>
              <wp:docPr id="13" name="Conector recto 10"/>
              <wp:cNvGraphicFramePr/>
              <a:graphic xmlns:a="http://schemas.openxmlformats.org/drawingml/2006/main">
                <a:graphicData uri="http://schemas.microsoft.com/office/word/2010/wordprocessingShape">
                  <wps:wsp>
                    <wps:cNvCnPr/>
                    <wps:spPr>
                      <a:xfrm>
                        <a:off x="0" y="0"/>
                        <a:ext cx="5972175" cy="0"/>
                      </a:xfrm>
                      <a:prstGeom prst="line">
                        <a:avLst/>
                      </a:prstGeom>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10452B9" id="Conector recto 10"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1.3pt,3.7pt" to="448.95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" strokecolor="#9bbb59 [3206]" strokeweight="3pt">
              <v:shadow on="t" color="black" opacity="22937f" origin=",.5" offset="0,.63889mm"/>
            </v:line>
          </w:pict>
        </mc:Fallback>
      </mc:AlternateContent>
    </w:r>
  </w:p>
  <w:sdt>
    <w:sdtPr>
      <w:id w:val="-537356038"/>
      <w:docPartObj>
        <w:docPartGallery w:val="Page Numbers (Bottom of Page)"/>
        <w:docPartUnique/>
      </w:docPartObj>
    </w:sdtPr>
    <w:sdtEndPr/>
    <w:sdtContent>
      <w:p w14:paraId="0509926D" w14:textId="6E7E1C59" w:rsidR="00384C87" w:rsidRDefault="00384C87" w:rsidP="00384C87">
        <w:pPr>
          <w:pStyle w:val="Piedepgina"/>
          <w:jc w:val="right"/>
        </w:pPr>
        <w:r>
          <w:rPr>
            <w:noProof/>
            <w:lang w:val="en-US"/>
          </w:rPr>
          <mc:AlternateContent>
            <mc:Choice Requires="wps">
              <w:drawing>
                <wp:anchor distT="0" distB="0" distL="114300" distR="114300" simplePos="0" relativeHeight="251656192" behindDoc="0" locked="0" layoutInCell="1" allowOverlap="1" wp14:anchorId="4781A413" wp14:editId="5380550D">
                  <wp:simplePos x="0" y="0"/>
                  <wp:positionH relativeFrom="column">
                    <wp:posOffset>-175260</wp:posOffset>
                  </wp:positionH>
                  <wp:positionV relativeFrom="paragraph">
                    <wp:posOffset>-66676</wp:posOffset>
                  </wp:positionV>
                  <wp:extent cx="5000625" cy="352425"/>
                  <wp:effectExtent l="0" t="0" r="0" b="0"/>
                  <wp:wrapNone/>
                  <wp:docPr id="12" name="Cuadro de texto 11"/>
                  <wp:cNvGraphicFramePr/>
                  <a:graphic xmlns:a="http://schemas.openxmlformats.org/drawingml/2006/main">
                    <a:graphicData uri="http://schemas.microsoft.com/office/word/2010/wordprocessingShape">
                      <wps:wsp>
                        <wps:cNvSpPr txBox="1"/>
                        <wps:spPr>
                          <a:xfrm>
                            <a:off x="0" y="0"/>
                            <a:ext cx="5000625" cy="352425"/>
                          </a:xfrm>
                          <a:prstGeom prst="rect">
                            <a:avLst/>
                          </a:prstGeom>
                          <a:noFill/>
                          <a:ln w="6350">
                            <a:noFill/>
                          </a:ln>
                        </wps:spPr>
                        <wps:txbx>
                          <w:txbxContent>
                            <w:p w14:paraId="7D4BBFFE" w14:textId="77777777" w:rsidR="00384C87" w:rsidRPr="001E4E17" w:rsidRDefault="00384C87" w:rsidP="00384C87">
                              <w:pPr>
                                <w:rPr>
                                  <w:i/>
                                  <w:lang w:val="es-ES"/>
                                </w:rPr>
                              </w:pPr>
                              <w:r w:rsidRPr="001E4E17">
                                <w:rPr>
                                  <w:i/>
                                  <w:lang w:val="es-ES"/>
                                </w:rPr>
                                <w:t>Proyecto de Presupuesto de Egresos 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4781A413" id="_x0000_t202" coordsize="21600,21600" o:spt="202" path="m,l,21600r21600,l21600,xe">
                  <v:stroke joinstyle="miter"/>
                  <v:path gradientshapeok="t" o:connecttype="rect"/>
                </v:shapetype>
                <v:shape id="Cuadro de texto 11" o:spid="_x0000_s1026" type="#_x0000_t202" style="position:absolute;left:0;text-align:left;margin-left:-13.8pt;margin-top:-5.25pt;width:393.75pt;height:27.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" filled="f" stroked="f" strokeweight=".5pt">
                  <v:textbox>
                    <w:txbxContent>
                      <w:p w14:paraId="7D4BBFFE" w14:textId="77777777" w:rsidR="00384C87" w:rsidRPr="001E4E17" w:rsidRDefault="00384C87" w:rsidP="00384C87">
                        <w:pPr>
                          <w:rPr>
                            <w:i/>
                            <w:lang w:val="es-ES"/>
                          </w:rPr>
                        </w:pPr>
                        <w:r w:rsidRPr="001E4E17">
                          <w:rPr>
                            <w:i/>
                            <w:lang w:val="es-ES"/>
                          </w:rPr>
                          <w:t>Proyecto de Presupuesto de Egresos 2025</w:t>
                        </w:r>
                      </w:p>
                    </w:txbxContent>
                  </v:textbox>
                </v:shape>
              </w:pict>
            </mc:Fallback>
          </mc:AlternateContent>
        </w:r>
        <w:r>
          <w:fldChar w:fldCharType="begin"/>
        </w:r>
        <w:r>
          <w:instrText>PAGE   \* MERGEFORMAT</w:instrText>
        </w:r>
        <w:r>
          <w:fldChar w:fldCharType="separate"/>
        </w:r>
        <w:r w:rsidR="00201B6B" w:rsidRPr="00201B6B">
          <w:rPr>
            <w:noProof/>
            <w:lang w:val="es-ES"/>
          </w:rPr>
          <w:t>1</w:t>
        </w:r>
        <w:r>
          <w:fldChar w:fldCharType="end"/>
        </w:r>
      </w:p>
    </w:sdtContent>
  </w:sdt>
  <w:p w14:paraId="5B4318EB" w14:textId="77777777" w:rsidR="00384C87" w:rsidRDefault="00384C87">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5349855" w14:textId="77777777" w:rsidR="00384C87" w:rsidRDefault="00384C87" w:rsidP="00384C87">
      <w:pPr>
        <w:spacing w:after="0" w:line="240" w:lineRule="auto"/>
      </w:pPr>
      <w:r>
        <w:separator/>
      </w:r>
    </w:p>
  </w:footnote>
  <w:footnote w:type="continuationSeparator" w:id="0">
    <w:p w14:paraId="0454C27C" w14:textId="77777777" w:rsidR="00384C87" w:rsidRDefault="00384C87" w:rsidP="00384C8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E2FE56" w14:textId="77777777" w:rsidR="00384C87" w:rsidRDefault="00384C87" w:rsidP="00384C87">
    <w:pPr>
      <w:pStyle w:val="Encabezado"/>
      <w:jc w:val="right"/>
      <w:rPr>
        <w:szCs w:val="20"/>
      </w:rPr>
    </w:pPr>
  </w:p>
  <w:p w14:paraId="184407CE" w14:textId="77777777" w:rsidR="00384C87" w:rsidRPr="001E4E17" w:rsidRDefault="00384C87" w:rsidP="00384C87">
    <w:pPr>
      <w:pStyle w:val="Encabezado"/>
      <w:jc w:val="right"/>
      <w:rPr>
        <w:szCs w:val="20"/>
      </w:rPr>
    </w:pPr>
    <w:r w:rsidRPr="001E4E17">
      <w:rPr>
        <w:noProof/>
        <w:szCs w:val="20"/>
        <w:lang w:val="en-US"/>
      </w:rPr>
      <w:drawing>
        <wp:anchor distT="0" distB="0" distL="114300" distR="114300" simplePos="0" relativeHeight="251657216" behindDoc="0" locked="0" layoutInCell="1" allowOverlap="1" wp14:anchorId="234CE2CA" wp14:editId="57A524FD">
          <wp:simplePos x="0" y="0"/>
          <wp:positionH relativeFrom="column">
            <wp:posOffset>-6985</wp:posOffset>
          </wp:positionH>
          <wp:positionV relativeFrom="paragraph">
            <wp:posOffset>-192405</wp:posOffset>
          </wp:positionV>
          <wp:extent cx="1178556" cy="447675"/>
          <wp:effectExtent l="0" t="0" r="3175" b="0"/>
          <wp:wrapNone/>
          <wp:docPr id="11" name="Imagen 1">
            <a:extLst xmlns:a="http://schemas.openxmlformats.org/drawingml/2006/main">
              <a:ext uri="{FF2B5EF4-FFF2-40B4-BE49-F238E27FC236}">
                <a16:creationId xmlns:a16="http://schemas.microsoft.com/office/drawing/2014/main" id="{F0910E86-FC4F-98D0-BFC7-D1CB201F32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F0910E86-FC4F-98D0-BFC7-D1CB201F3298}"/>
                      </a:ext>
                    </a:extLst>
                  </pic:cNvPr>
                  <pic:cNvPicPr>
                    <a:picLocks noChangeAspect="1"/>
                  </pic:cNvPicPr>
                </pic:nvPicPr>
                <pic:blipFill>
                  <a:blip r:embed="rId1">
                    <a:clrChange>
                      <a:clrFrom>
                        <a:srgbClr val="F6F6F6"/>
                      </a:clrFrom>
                      <a:clrTo>
                        <a:srgbClr val="F6F6F6">
                          <a:alpha val="0"/>
                        </a:srgbClr>
                      </a:clrTo>
                    </a:clrChange>
                    <a:extLst>
                      <a:ext uri="{28A0092B-C50C-407E-A947-70E740481C1C}">
                        <a14:useLocalDpi xmlns:a14="http://schemas.microsoft.com/office/drawing/2010/main" val="0"/>
                      </a:ext>
                    </a:extLst>
                  </a:blip>
                  <a:stretch>
                    <a:fillRect/>
                  </a:stretch>
                </pic:blipFill>
                <pic:spPr>
                  <a:xfrm>
                    <a:off x="0" y="0"/>
                    <a:ext cx="1178556" cy="447675"/>
                  </a:xfrm>
                  <a:prstGeom prst="rect">
                    <a:avLst/>
                  </a:prstGeom>
                </pic:spPr>
              </pic:pic>
            </a:graphicData>
          </a:graphic>
          <wp14:sizeRelH relativeFrom="margin">
            <wp14:pctWidth>0</wp14:pctWidth>
          </wp14:sizeRelH>
          <wp14:sizeRelV relativeFrom="margin">
            <wp14:pctHeight>0</wp14:pctHeight>
          </wp14:sizeRelV>
        </wp:anchor>
      </w:drawing>
    </w:r>
    <w:r>
      <w:rPr>
        <w:szCs w:val="20"/>
      </w:rPr>
      <w:t>Marco Macroeconómico</w:t>
    </w:r>
    <w:r w:rsidRPr="001E4E17">
      <w:rPr>
        <w:szCs w:val="20"/>
      </w:rPr>
      <w:t xml:space="preserve"> </w:t>
    </w:r>
  </w:p>
  <w:p w14:paraId="04EC2628" w14:textId="77777777" w:rsidR="00384C87" w:rsidRDefault="00384C87" w:rsidP="00384C87">
    <w:pPr>
      <w:pStyle w:val="Encabezado"/>
    </w:pPr>
    <w:r>
      <w:rPr>
        <w:noProof/>
        <w:lang w:val="en-US"/>
      </w:rPr>
      <mc:AlternateContent>
        <mc:Choice Requires="wps">
          <w:drawing>
            <wp:anchor distT="0" distB="0" distL="114300" distR="114300" simplePos="0" relativeHeight="251658240" behindDoc="0" locked="0" layoutInCell="1" allowOverlap="1" wp14:anchorId="7588F44B" wp14:editId="2210E127">
              <wp:simplePos x="0" y="0"/>
              <wp:positionH relativeFrom="column">
                <wp:posOffset>27737</wp:posOffset>
              </wp:positionH>
              <wp:positionV relativeFrom="paragraph">
                <wp:posOffset>55245</wp:posOffset>
              </wp:positionV>
              <wp:extent cx="5924550" cy="9525"/>
              <wp:effectExtent l="38100" t="38100" r="76200" b="85725"/>
              <wp:wrapNone/>
              <wp:docPr id="10" name="Conector recto 8"/>
              <wp:cNvGraphicFramePr/>
              <a:graphic xmlns:a="http://schemas.openxmlformats.org/drawingml/2006/main">
                <a:graphicData uri="http://schemas.microsoft.com/office/word/2010/wordprocessingShape">
                  <wps:wsp>
                    <wps:cNvCnPr/>
                    <wps:spPr>
                      <a:xfrm>
                        <a:off x="0" y="0"/>
                        <a:ext cx="5924550" cy="9525"/>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1B19A69" id="Conector recto 8"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pt,4.35pt" to="468.7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" strokecolor="#c0504d [3205]" strokeweight="2pt">
              <v:shadow on="t" color="black" opacity="24903f" origin=",.5" offset="0,.55556mm"/>
            </v:line>
          </w:pict>
        </mc:Fallback>
      </mc:AlternateContent>
    </w:r>
  </w:p>
  <w:p w14:paraId="72808879" w14:textId="77777777" w:rsidR="00384C87" w:rsidRDefault="00384C87">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22505B"/>
    <w:multiLevelType w:val="hybridMultilevel"/>
    <w:tmpl w:val="F222A1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2CD51C92"/>
    <w:multiLevelType w:val="hybridMultilevel"/>
    <w:tmpl w:val="D4AE8E64"/>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w:hAnsi="Courier"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w:hAnsi="Courier"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w:hAnsi="Courier" w:hint="default"/>
      </w:rPr>
    </w:lvl>
    <w:lvl w:ilvl="8" w:tplc="080A0005" w:tentative="1">
      <w:start w:val="1"/>
      <w:numFmt w:val="bullet"/>
      <w:lvlText w:val=""/>
      <w:lvlJc w:val="left"/>
      <w:pPr>
        <w:ind w:left="6764" w:hanging="360"/>
      </w:pPr>
      <w:rPr>
        <w:rFonts w:ascii="Wingdings" w:hAnsi="Wingdings" w:hint="default"/>
      </w:rPr>
    </w:lvl>
  </w:abstractNum>
  <w:abstractNum w:abstractNumId="2" w15:restartNumberingAfterBreak="0">
    <w:nsid w:val="427666A2"/>
    <w:multiLevelType w:val="hybridMultilevel"/>
    <w:tmpl w:val="868C26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686E0E8B"/>
    <w:multiLevelType w:val="hybridMultilevel"/>
    <w:tmpl w:val="9B80FDC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E1539"/>
    <w:rsid w:val="000078AE"/>
    <w:rsid w:val="00011EBB"/>
    <w:rsid w:val="00012AE1"/>
    <w:rsid w:val="00051090"/>
    <w:rsid w:val="000518C7"/>
    <w:rsid w:val="0005331B"/>
    <w:rsid w:val="0006096B"/>
    <w:rsid w:val="00065FF7"/>
    <w:rsid w:val="00067A8F"/>
    <w:rsid w:val="0007241F"/>
    <w:rsid w:val="00085EE9"/>
    <w:rsid w:val="000911D8"/>
    <w:rsid w:val="000B5C24"/>
    <w:rsid w:val="000C57ED"/>
    <w:rsid w:val="000D6CA7"/>
    <w:rsid w:val="000E0338"/>
    <w:rsid w:val="000F5A76"/>
    <w:rsid w:val="000F7208"/>
    <w:rsid w:val="00102460"/>
    <w:rsid w:val="00105C08"/>
    <w:rsid w:val="00105CD2"/>
    <w:rsid w:val="00110A60"/>
    <w:rsid w:val="00121E93"/>
    <w:rsid w:val="001248E5"/>
    <w:rsid w:val="00132030"/>
    <w:rsid w:val="00134C1F"/>
    <w:rsid w:val="00147313"/>
    <w:rsid w:val="00147DC5"/>
    <w:rsid w:val="00154012"/>
    <w:rsid w:val="001663C0"/>
    <w:rsid w:val="00175BB9"/>
    <w:rsid w:val="0018407A"/>
    <w:rsid w:val="001845C6"/>
    <w:rsid w:val="0018473A"/>
    <w:rsid w:val="00191BAE"/>
    <w:rsid w:val="001D0E1B"/>
    <w:rsid w:val="001D0FB5"/>
    <w:rsid w:val="001D6303"/>
    <w:rsid w:val="001E29BB"/>
    <w:rsid w:val="00201B6B"/>
    <w:rsid w:val="0021729A"/>
    <w:rsid w:val="00226DC0"/>
    <w:rsid w:val="0023301B"/>
    <w:rsid w:val="002364CD"/>
    <w:rsid w:val="002420E6"/>
    <w:rsid w:val="00277F9A"/>
    <w:rsid w:val="00291B76"/>
    <w:rsid w:val="002B12C6"/>
    <w:rsid w:val="002B16BD"/>
    <w:rsid w:val="002B58A2"/>
    <w:rsid w:val="002B70C5"/>
    <w:rsid w:val="002D48EF"/>
    <w:rsid w:val="002D735B"/>
    <w:rsid w:val="002E57AC"/>
    <w:rsid w:val="002E7165"/>
    <w:rsid w:val="002F1B27"/>
    <w:rsid w:val="002F4D3C"/>
    <w:rsid w:val="002F79AD"/>
    <w:rsid w:val="00316F89"/>
    <w:rsid w:val="00355D74"/>
    <w:rsid w:val="003627C7"/>
    <w:rsid w:val="00382841"/>
    <w:rsid w:val="00383939"/>
    <w:rsid w:val="00384C87"/>
    <w:rsid w:val="0038730B"/>
    <w:rsid w:val="00390EF8"/>
    <w:rsid w:val="00392792"/>
    <w:rsid w:val="003934DA"/>
    <w:rsid w:val="00393A30"/>
    <w:rsid w:val="003A2309"/>
    <w:rsid w:val="003A28DE"/>
    <w:rsid w:val="003B3B77"/>
    <w:rsid w:val="003B3EC2"/>
    <w:rsid w:val="003C5F2F"/>
    <w:rsid w:val="003C645B"/>
    <w:rsid w:val="003D09E2"/>
    <w:rsid w:val="003D20A0"/>
    <w:rsid w:val="003D3488"/>
    <w:rsid w:val="003D41BD"/>
    <w:rsid w:val="003E4D8C"/>
    <w:rsid w:val="004067C0"/>
    <w:rsid w:val="00406842"/>
    <w:rsid w:val="00410DBC"/>
    <w:rsid w:val="00411F89"/>
    <w:rsid w:val="00415C75"/>
    <w:rsid w:val="00420A56"/>
    <w:rsid w:val="004250BD"/>
    <w:rsid w:val="00433A47"/>
    <w:rsid w:val="00437E5F"/>
    <w:rsid w:val="0044664D"/>
    <w:rsid w:val="00446924"/>
    <w:rsid w:val="00451984"/>
    <w:rsid w:val="00452714"/>
    <w:rsid w:val="004755E1"/>
    <w:rsid w:val="00475B4A"/>
    <w:rsid w:val="00480F0B"/>
    <w:rsid w:val="00484EDD"/>
    <w:rsid w:val="004879C7"/>
    <w:rsid w:val="004909C3"/>
    <w:rsid w:val="004A7CDD"/>
    <w:rsid w:val="004B3DCA"/>
    <w:rsid w:val="004C0A2C"/>
    <w:rsid w:val="004D24CF"/>
    <w:rsid w:val="004D25E7"/>
    <w:rsid w:val="004D5DD3"/>
    <w:rsid w:val="004F34DA"/>
    <w:rsid w:val="00516504"/>
    <w:rsid w:val="00522686"/>
    <w:rsid w:val="005240A3"/>
    <w:rsid w:val="00541E3A"/>
    <w:rsid w:val="00543FB7"/>
    <w:rsid w:val="00544C4C"/>
    <w:rsid w:val="00545E4C"/>
    <w:rsid w:val="005461D6"/>
    <w:rsid w:val="00551725"/>
    <w:rsid w:val="0055255B"/>
    <w:rsid w:val="00560F54"/>
    <w:rsid w:val="00573803"/>
    <w:rsid w:val="00583E70"/>
    <w:rsid w:val="00585A48"/>
    <w:rsid w:val="00587ADE"/>
    <w:rsid w:val="00591524"/>
    <w:rsid w:val="00592F4C"/>
    <w:rsid w:val="005958B8"/>
    <w:rsid w:val="005B4E0E"/>
    <w:rsid w:val="005B780C"/>
    <w:rsid w:val="005C6E82"/>
    <w:rsid w:val="005D136A"/>
    <w:rsid w:val="005D3605"/>
    <w:rsid w:val="005E3FB4"/>
    <w:rsid w:val="005F6DCC"/>
    <w:rsid w:val="00602D08"/>
    <w:rsid w:val="00621E31"/>
    <w:rsid w:val="00624CFB"/>
    <w:rsid w:val="00624F31"/>
    <w:rsid w:val="00641DB7"/>
    <w:rsid w:val="006442D0"/>
    <w:rsid w:val="00647AC8"/>
    <w:rsid w:val="00650D9A"/>
    <w:rsid w:val="00652219"/>
    <w:rsid w:val="00661215"/>
    <w:rsid w:val="00661F68"/>
    <w:rsid w:val="00676D4C"/>
    <w:rsid w:val="00680C8E"/>
    <w:rsid w:val="00681326"/>
    <w:rsid w:val="006907C2"/>
    <w:rsid w:val="006953EB"/>
    <w:rsid w:val="006B0508"/>
    <w:rsid w:val="006B0AC9"/>
    <w:rsid w:val="006B2E10"/>
    <w:rsid w:val="006D02B6"/>
    <w:rsid w:val="006D5CBF"/>
    <w:rsid w:val="006E3D4E"/>
    <w:rsid w:val="006E53A9"/>
    <w:rsid w:val="006E5A8B"/>
    <w:rsid w:val="006F3359"/>
    <w:rsid w:val="006F4F1C"/>
    <w:rsid w:val="006F7FA3"/>
    <w:rsid w:val="00716E18"/>
    <w:rsid w:val="0072104A"/>
    <w:rsid w:val="00737B9A"/>
    <w:rsid w:val="0074377A"/>
    <w:rsid w:val="00743FB6"/>
    <w:rsid w:val="00750DBE"/>
    <w:rsid w:val="007601FC"/>
    <w:rsid w:val="0076248F"/>
    <w:rsid w:val="00777D09"/>
    <w:rsid w:val="00781EE7"/>
    <w:rsid w:val="00796E0D"/>
    <w:rsid w:val="007B283A"/>
    <w:rsid w:val="007C5F84"/>
    <w:rsid w:val="007C68F2"/>
    <w:rsid w:val="007D1BD1"/>
    <w:rsid w:val="007D40E0"/>
    <w:rsid w:val="007D4381"/>
    <w:rsid w:val="007D6B6B"/>
    <w:rsid w:val="007E7FD6"/>
    <w:rsid w:val="00814440"/>
    <w:rsid w:val="008154A5"/>
    <w:rsid w:val="00847323"/>
    <w:rsid w:val="00847AB6"/>
    <w:rsid w:val="0085353A"/>
    <w:rsid w:val="0085361A"/>
    <w:rsid w:val="00857799"/>
    <w:rsid w:val="00857D37"/>
    <w:rsid w:val="0087095D"/>
    <w:rsid w:val="00873E8C"/>
    <w:rsid w:val="008772D2"/>
    <w:rsid w:val="0089238B"/>
    <w:rsid w:val="008938BF"/>
    <w:rsid w:val="00897A3C"/>
    <w:rsid w:val="008B2620"/>
    <w:rsid w:val="008B5A5B"/>
    <w:rsid w:val="008C17A2"/>
    <w:rsid w:val="008C524F"/>
    <w:rsid w:val="008D7925"/>
    <w:rsid w:val="008D7A9B"/>
    <w:rsid w:val="008E3886"/>
    <w:rsid w:val="008F04CD"/>
    <w:rsid w:val="009010CC"/>
    <w:rsid w:val="009020C9"/>
    <w:rsid w:val="00903DC3"/>
    <w:rsid w:val="009048B4"/>
    <w:rsid w:val="00912B28"/>
    <w:rsid w:val="009321A4"/>
    <w:rsid w:val="009457BA"/>
    <w:rsid w:val="00954A21"/>
    <w:rsid w:val="00954EA5"/>
    <w:rsid w:val="00993E85"/>
    <w:rsid w:val="009A526B"/>
    <w:rsid w:val="009B7007"/>
    <w:rsid w:val="009D7356"/>
    <w:rsid w:val="009E1F1A"/>
    <w:rsid w:val="009E3C25"/>
    <w:rsid w:val="009E5DA0"/>
    <w:rsid w:val="009F0A60"/>
    <w:rsid w:val="009F2C8D"/>
    <w:rsid w:val="009F2D93"/>
    <w:rsid w:val="009F592B"/>
    <w:rsid w:val="00A0159A"/>
    <w:rsid w:val="00A0351E"/>
    <w:rsid w:val="00A06A71"/>
    <w:rsid w:val="00A06EA4"/>
    <w:rsid w:val="00A14F07"/>
    <w:rsid w:val="00A3280B"/>
    <w:rsid w:val="00A43660"/>
    <w:rsid w:val="00A5135B"/>
    <w:rsid w:val="00A66018"/>
    <w:rsid w:val="00A90428"/>
    <w:rsid w:val="00A92B53"/>
    <w:rsid w:val="00AA0046"/>
    <w:rsid w:val="00AA0FFD"/>
    <w:rsid w:val="00AA5519"/>
    <w:rsid w:val="00AC6840"/>
    <w:rsid w:val="00AD7B39"/>
    <w:rsid w:val="00AE34A3"/>
    <w:rsid w:val="00AF069D"/>
    <w:rsid w:val="00B10676"/>
    <w:rsid w:val="00B1086E"/>
    <w:rsid w:val="00B15C33"/>
    <w:rsid w:val="00B16EBC"/>
    <w:rsid w:val="00B26D0F"/>
    <w:rsid w:val="00B276F0"/>
    <w:rsid w:val="00B42ECF"/>
    <w:rsid w:val="00B54F2C"/>
    <w:rsid w:val="00B63772"/>
    <w:rsid w:val="00B73B0C"/>
    <w:rsid w:val="00B74BE9"/>
    <w:rsid w:val="00B814CE"/>
    <w:rsid w:val="00B819C3"/>
    <w:rsid w:val="00B8436C"/>
    <w:rsid w:val="00B85625"/>
    <w:rsid w:val="00B91CB5"/>
    <w:rsid w:val="00BA0C94"/>
    <w:rsid w:val="00BA32DF"/>
    <w:rsid w:val="00BB060B"/>
    <w:rsid w:val="00BB6D8D"/>
    <w:rsid w:val="00BC14F8"/>
    <w:rsid w:val="00BC6D72"/>
    <w:rsid w:val="00BD6EEE"/>
    <w:rsid w:val="00BE035C"/>
    <w:rsid w:val="00BE20AA"/>
    <w:rsid w:val="00BF0F16"/>
    <w:rsid w:val="00C127E2"/>
    <w:rsid w:val="00C1514B"/>
    <w:rsid w:val="00C214DC"/>
    <w:rsid w:val="00C27DEE"/>
    <w:rsid w:val="00C31C92"/>
    <w:rsid w:val="00C3240C"/>
    <w:rsid w:val="00C36F92"/>
    <w:rsid w:val="00C3749A"/>
    <w:rsid w:val="00C414DC"/>
    <w:rsid w:val="00C428B8"/>
    <w:rsid w:val="00C53A01"/>
    <w:rsid w:val="00C60008"/>
    <w:rsid w:val="00C603BD"/>
    <w:rsid w:val="00C71302"/>
    <w:rsid w:val="00C752F2"/>
    <w:rsid w:val="00C7635A"/>
    <w:rsid w:val="00C83232"/>
    <w:rsid w:val="00C83EB2"/>
    <w:rsid w:val="00C853FE"/>
    <w:rsid w:val="00C96284"/>
    <w:rsid w:val="00CC6C3A"/>
    <w:rsid w:val="00CD0A31"/>
    <w:rsid w:val="00CD1FBF"/>
    <w:rsid w:val="00CD743D"/>
    <w:rsid w:val="00CE1539"/>
    <w:rsid w:val="00CF0235"/>
    <w:rsid w:val="00CF326F"/>
    <w:rsid w:val="00D0260A"/>
    <w:rsid w:val="00D0332A"/>
    <w:rsid w:val="00D03C09"/>
    <w:rsid w:val="00D14C6B"/>
    <w:rsid w:val="00D27F3E"/>
    <w:rsid w:val="00D33C44"/>
    <w:rsid w:val="00D362D7"/>
    <w:rsid w:val="00D50350"/>
    <w:rsid w:val="00D55A0D"/>
    <w:rsid w:val="00D56C61"/>
    <w:rsid w:val="00DB0648"/>
    <w:rsid w:val="00DB7E63"/>
    <w:rsid w:val="00DC17DD"/>
    <w:rsid w:val="00DC2524"/>
    <w:rsid w:val="00DC6283"/>
    <w:rsid w:val="00DD096E"/>
    <w:rsid w:val="00DD2851"/>
    <w:rsid w:val="00DE1F12"/>
    <w:rsid w:val="00DE34FA"/>
    <w:rsid w:val="00E045D6"/>
    <w:rsid w:val="00E14017"/>
    <w:rsid w:val="00E158AD"/>
    <w:rsid w:val="00E36651"/>
    <w:rsid w:val="00E43CEE"/>
    <w:rsid w:val="00E44979"/>
    <w:rsid w:val="00E55CDC"/>
    <w:rsid w:val="00E616EC"/>
    <w:rsid w:val="00E6738E"/>
    <w:rsid w:val="00EA1606"/>
    <w:rsid w:val="00EA1AB8"/>
    <w:rsid w:val="00EA6409"/>
    <w:rsid w:val="00EA74EF"/>
    <w:rsid w:val="00ED585C"/>
    <w:rsid w:val="00EE2C33"/>
    <w:rsid w:val="00F235C7"/>
    <w:rsid w:val="00F25E8B"/>
    <w:rsid w:val="00F456E6"/>
    <w:rsid w:val="00F459A1"/>
    <w:rsid w:val="00F5520E"/>
    <w:rsid w:val="00F56EBE"/>
    <w:rsid w:val="00F62790"/>
    <w:rsid w:val="00F63DE8"/>
    <w:rsid w:val="00F678B2"/>
    <w:rsid w:val="00F76AC3"/>
    <w:rsid w:val="00F82BC2"/>
    <w:rsid w:val="00F85187"/>
    <w:rsid w:val="00F93092"/>
    <w:rsid w:val="00FA6AB3"/>
    <w:rsid w:val="00FB292A"/>
    <w:rsid w:val="00FB542D"/>
    <w:rsid w:val="00FB5BA4"/>
    <w:rsid w:val="00FB743E"/>
    <w:rsid w:val="00FE55B6"/>
    <w:rsid w:val="00FF6BC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3680E609"/>
  <w15:docId w15:val="{2DB178A1-FD0E-473F-85FB-E03BF3F2D8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semiHidden/>
    <w:unhideWhenUsed/>
    <w:rsid w:val="00681326"/>
    <w:rPr>
      <w:color w:val="0000FF"/>
      <w:u w:val="single"/>
    </w:rPr>
  </w:style>
  <w:style w:type="paragraph" w:styleId="Prrafodelista">
    <w:name w:val="List Paragraph"/>
    <w:basedOn w:val="Normal"/>
    <w:uiPriority w:val="34"/>
    <w:qFormat/>
    <w:rsid w:val="003C645B"/>
    <w:pPr>
      <w:ind w:left="720"/>
      <w:contextualSpacing/>
    </w:pPr>
  </w:style>
  <w:style w:type="paragraph" w:styleId="NormalWeb">
    <w:name w:val="Normal (Web)"/>
    <w:basedOn w:val="Normal"/>
    <w:uiPriority w:val="99"/>
    <w:semiHidden/>
    <w:unhideWhenUsed/>
    <w:rsid w:val="00B10676"/>
    <w:pPr>
      <w:spacing w:before="100" w:beforeAutospacing="1" w:after="100" w:afterAutospacing="1" w:line="240" w:lineRule="auto"/>
    </w:pPr>
    <w:rPr>
      <w:rFonts w:ascii="Times New Roman" w:eastAsia="Times New Roman" w:hAnsi="Times New Roman" w:cs="Times New Roman"/>
      <w:sz w:val="24"/>
      <w:szCs w:val="24"/>
      <w:lang w:eastAsia="es-MX"/>
    </w:rPr>
  </w:style>
  <w:style w:type="table" w:styleId="Tablaconcuadrcula">
    <w:name w:val="Table Grid"/>
    <w:basedOn w:val="Tablanormal"/>
    <w:uiPriority w:val="59"/>
    <w:rsid w:val="000E03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1845C6"/>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845C6"/>
    <w:rPr>
      <w:rFonts w:ascii="Tahoma" w:hAnsi="Tahoma" w:cs="Tahoma"/>
      <w:sz w:val="16"/>
      <w:szCs w:val="16"/>
    </w:rPr>
  </w:style>
  <w:style w:type="character" w:styleId="Textoennegrita">
    <w:name w:val="Strong"/>
    <w:basedOn w:val="Fuentedeprrafopredeter"/>
    <w:uiPriority w:val="22"/>
    <w:qFormat/>
    <w:rsid w:val="00A90428"/>
    <w:rPr>
      <w:b/>
      <w:bCs/>
    </w:rPr>
  </w:style>
  <w:style w:type="character" w:styleId="nfasis">
    <w:name w:val="Emphasis"/>
    <w:basedOn w:val="Fuentedeprrafopredeter"/>
    <w:uiPriority w:val="20"/>
    <w:qFormat/>
    <w:rsid w:val="00F82BC2"/>
    <w:rPr>
      <w:i/>
      <w:iCs/>
    </w:rPr>
  </w:style>
  <w:style w:type="paragraph" w:styleId="Encabezado">
    <w:name w:val="header"/>
    <w:basedOn w:val="Normal"/>
    <w:link w:val="EncabezadoCar"/>
    <w:uiPriority w:val="99"/>
    <w:unhideWhenUsed/>
    <w:rsid w:val="00384C8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84C87"/>
  </w:style>
  <w:style w:type="paragraph" w:styleId="Piedepgina">
    <w:name w:val="footer"/>
    <w:basedOn w:val="Normal"/>
    <w:link w:val="PiedepginaCar"/>
    <w:uiPriority w:val="99"/>
    <w:unhideWhenUsed/>
    <w:rsid w:val="00384C8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84C87"/>
  </w:style>
  <w:style w:type="paragraph" w:styleId="Sinespaciado">
    <w:name w:val="No Spacing"/>
    <w:uiPriority w:val="1"/>
    <w:qFormat/>
    <w:rsid w:val="00355D74"/>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package" Target="embeddings/Hoja_de_c_lculo_de_Microsoft_Excel1.xlsx"/><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image" Target="media/image6.emf"/><Relationship Id="rId10" Type="http://schemas.openxmlformats.org/officeDocument/2006/relationships/package" Target="embeddings/Hoja_de_c_lculo_de_Microsoft_Excel.xlsx"/><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emf"/></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502161-D781-4C79-A030-19229ACF82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533</TotalTime>
  <Pages>14</Pages>
  <Words>2926</Words>
  <Characters>16679</Characters>
  <Application>Microsoft Office Word</Application>
  <DocSecurity>0</DocSecurity>
  <Lines>138</Lines>
  <Paragraphs>39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Ana María De Paz Díaz</dc:creator>
  <cp:lastModifiedBy>Tomás Gustavo Coello Hernández</cp:lastModifiedBy>
  <cp:revision>51</cp:revision>
  <dcterms:created xsi:type="dcterms:W3CDTF">2025-01-02T23:13:00Z</dcterms:created>
  <dcterms:modified xsi:type="dcterms:W3CDTF">2025-09-29T17:50:00Z</dcterms:modified>
</cp:coreProperties>
</file>